
<file path=[Content_Types].xml><?xml version="1.0" encoding="utf-8"?>
<Types xmlns="http://schemas.openxmlformats.org/package/2006/content-types">
  <Default Extension="png" ContentType="image/png"/>
  <Default Extension="svg" ContentType="image/svg+xml"/>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A342C" w:rsidRPr="00B044E4" w:rsidRDefault="00372DA3" w:rsidP="00CA379D">
      <w:pPr>
        <w:spacing w:after="0" w:line="240" w:lineRule="auto"/>
        <w:jc w:val="center"/>
        <w:rPr>
          <w:rFonts w:ascii="Cambria" w:hAnsi="Cambria" w:cs="Times New Roman"/>
          <w:sz w:val="32"/>
          <w:szCs w:val="24"/>
        </w:rPr>
      </w:pPr>
      <w:r w:rsidRPr="00372DA3">
        <w:rPr>
          <w:noProof/>
        </w:rPr>
        <w:drawing>
          <wp:inline distT="0" distB="0" distL="0" distR="0">
            <wp:extent cx="5728970" cy="7092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28970" cy="709295"/>
                    </a:xfrm>
                    <a:prstGeom prst="rect">
                      <a:avLst/>
                    </a:prstGeom>
                    <a:noFill/>
                    <a:ln>
                      <a:noFill/>
                    </a:ln>
                  </pic:spPr>
                </pic:pic>
              </a:graphicData>
            </a:graphic>
          </wp:inline>
        </w:drawing>
      </w:r>
    </w:p>
    <w:p w:rsidR="002A342C" w:rsidRDefault="002A342C" w:rsidP="00CA379D">
      <w:pPr>
        <w:spacing w:after="0" w:line="240" w:lineRule="auto"/>
        <w:jc w:val="center"/>
        <w:rPr>
          <w:rFonts w:ascii="Cambria" w:hAnsi="Cambria" w:cs="Times New Roman"/>
          <w:sz w:val="32"/>
          <w:szCs w:val="24"/>
        </w:rPr>
      </w:pPr>
    </w:p>
    <w:p w:rsidR="00D4385F" w:rsidRDefault="00D4385F" w:rsidP="00CA379D">
      <w:pPr>
        <w:spacing w:after="0" w:line="240" w:lineRule="auto"/>
        <w:jc w:val="center"/>
        <w:rPr>
          <w:rFonts w:ascii="Cambria" w:hAnsi="Cambria" w:cs="Times New Roman"/>
          <w:sz w:val="32"/>
          <w:szCs w:val="24"/>
        </w:rPr>
      </w:pPr>
    </w:p>
    <w:p w:rsidR="00D4385F" w:rsidRDefault="00D4385F" w:rsidP="00CA379D">
      <w:pPr>
        <w:spacing w:after="0" w:line="240" w:lineRule="auto"/>
        <w:jc w:val="center"/>
        <w:rPr>
          <w:rFonts w:ascii="Cambria" w:hAnsi="Cambria" w:cs="Times New Roman"/>
          <w:sz w:val="32"/>
          <w:szCs w:val="24"/>
        </w:rPr>
      </w:pPr>
    </w:p>
    <w:p w:rsidR="00D4385F" w:rsidRPr="00B044E4" w:rsidRDefault="00D4385F" w:rsidP="00CA379D">
      <w:pPr>
        <w:spacing w:after="0" w:line="240" w:lineRule="auto"/>
        <w:jc w:val="center"/>
        <w:rPr>
          <w:rFonts w:ascii="Cambria" w:hAnsi="Cambria" w:cs="Times New Roman"/>
          <w:sz w:val="32"/>
          <w:szCs w:val="24"/>
        </w:rPr>
      </w:pPr>
    </w:p>
    <w:p w:rsidR="002A342C" w:rsidRPr="00B044E4" w:rsidRDefault="002A342C" w:rsidP="00CA379D">
      <w:pPr>
        <w:spacing w:after="0" w:line="240" w:lineRule="auto"/>
        <w:jc w:val="center"/>
        <w:rPr>
          <w:rFonts w:ascii="Cambria" w:hAnsi="Cambria" w:cs="Times New Roman"/>
          <w:sz w:val="32"/>
          <w:szCs w:val="24"/>
        </w:rPr>
      </w:pPr>
    </w:p>
    <w:p w:rsidR="005F5B7F" w:rsidRPr="00B044E4" w:rsidRDefault="005F5B7F" w:rsidP="00CA379D">
      <w:pPr>
        <w:spacing w:after="0" w:line="240" w:lineRule="auto"/>
        <w:jc w:val="center"/>
        <w:rPr>
          <w:rFonts w:ascii="Cambria" w:hAnsi="Cambria" w:cs="Times New Roman"/>
          <w:b/>
          <w:color w:val="005EA4"/>
          <w:sz w:val="32"/>
          <w:szCs w:val="24"/>
        </w:rPr>
      </w:pPr>
      <w:r w:rsidRPr="00B044E4">
        <w:rPr>
          <w:rFonts w:ascii="Cambria" w:hAnsi="Cambria" w:cs="Times New Roman"/>
          <w:b/>
          <w:color w:val="005EA4"/>
          <w:sz w:val="32"/>
          <w:szCs w:val="24"/>
        </w:rPr>
        <w:t>INTELLIGENCE</w:t>
      </w:r>
      <w:r w:rsidR="00493041" w:rsidRPr="00B044E4">
        <w:rPr>
          <w:rFonts w:ascii="Cambria" w:hAnsi="Cambria" w:cs="Times New Roman"/>
          <w:b/>
          <w:color w:val="005EA4"/>
          <w:sz w:val="32"/>
          <w:szCs w:val="24"/>
        </w:rPr>
        <w:t xml:space="preserve"> and CO-CREATION</w:t>
      </w:r>
      <w:r w:rsidRPr="00B044E4">
        <w:rPr>
          <w:rFonts w:ascii="Cambria" w:hAnsi="Cambria" w:cs="Times New Roman"/>
          <w:b/>
          <w:color w:val="005EA4"/>
          <w:sz w:val="32"/>
          <w:szCs w:val="24"/>
        </w:rPr>
        <w:t xml:space="preserve"> </w:t>
      </w:r>
      <w:r w:rsidR="00493041" w:rsidRPr="00B044E4">
        <w:rPr>
          <w:rFonts w:ascii="Cambria" w:hAnsi="Cambria" w:cs="Times New Roman"/>
          <w:b/>
          <w:color w:val="005EA4"/>
          <w:sz w:val="32"/>
          <w:szCs w:val="24"/>
        </w:rPr>
        <w:t xml:space="preserve">IN </w:t>
      </w:r>
      <w:r w:rsidRPr="00B044E4">
        <w:rPr>
          <w:rFonts w:ascii="Cambria" w:hAnsi="Cambria" w:cs="Times New Roman"/>
          <w:b/>
          <w:color w:val="005EA4"/>
          <w:sz w:val="32"/>
          <w:szCs w:val="24"/>
        </w:rPr>
        <w:t>SMART SPECIALISATION STRATEGIES</w:t>
      </w:r>
      <w:r w:rsidR="004A6B11" w:rsidRPr="00B044E4">
        <w:rPr>
          <w:rFonts w:ascii="Cambria" w:hAnsi="Cambria" w:cs="Times New Roman"/>
          <w:b/>
          <w:color w:val="005EA4"/>
          <w:sz w:val="32"/>
          <w:szCs w:val="24"/>
        </w:rPr>
        <w:t xml:space="preserve">: </w:t>
      </w:r>
      <w:r w:rsidRPr="00B044E4">
        <w:rPr>
          <w:rFonts w:ascii="Cambria" w:hAnsi="Cambria" w:cs="Times New Roman"/>
          <w:b/>
          <w:color w:val="005EA4"/>
          <w:sz w:val="32"/>
          <w:szCs w:val="24"/>
        </w:rPr>
        <w:t>Towards the next stage of RIS3</w:t>
      </w:r>
    </w:p>
    <w:p w:rsidR="004A6B11" w:rsidRPr="00B044E4" w:rsidRDefault="004A6B11" w:rsidP="00CA379D">
      <w:pPr>
        <w:spacing w:after="0" w:line="240" w:lineRule="auto"/>
        <w:jc w:val="center"/>
        <w:rPr>
          <w:rFonts w:ascii="Cambria" w:hAnsi="Cambria" w:cs="Times New Roman"/>
          <w:color w:val="005EA4"/>
          <w:sz w:val="32"/>
          <w:szCs w:val="24"/>
        </w:rPr>
      </w:pPr>
    </w:p>
    <w:p w:rsidR="004A6B11" w:rsidRPr="00B044E4" w:rsidRDefault="008741E3" w:rsidP="00CA379D">
      <w:pPr>
        <w:spacing w:after="0" w:line="240" w:lineRule="auto"/>
        <w:rPr>
          <w:rFonts w:ascii="Cambria" w:hAnsi="Cambria" w:cs="Times New Roman"/>
          <w:sz w:val="32"/>
          <w:szCs w:val="24"/>
        </w:rPr>
      </w:pPr>
      <w:r w:rsidRPr="00B044E4">
        <w:rPr>
          <w:rFonts w:ascii="Cambria" w:hAnsi="Cambria" w:cs="Times New Roman"/>
          <w:noProof/>
          <w:sz w:val="32"/>
          <w:szCs w:val="24"/>
        </w:rPr>
        <w:drawing>
          <wp:inline distT="0" distB="0" distL="0" distR="0" wp14:anchorId="052E01AE" wp14:editId="0C0E29A1">
            <wp:extent cx="5804034" cy="2371725"/>
            <wp:effectExtent l="0" t="0" r="6350" b="0"/>
            <wp:docPr id="2" name="Picture 4">
              <a:extLst xmlns:a="http://schemas.openxmlformats.org/drawingml/2006/main">
                <a:ext uri="{FF2B5EF4-FFF2-40B4-BE49-F238E27FC236}">
                  <a16:creationId xmlns:a16="http://schemas.microsoft.com/office/drawing/2014/main" id="{0DFAA1AE-5665-442F-935E-1881494D38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DFAA1AE-5665-442F-935E-1881494D3816}"/>
                        </a:ext>
                      </a:extLst>
                    </pic:cNvPr>
                    <pic:cNvPicPr>
                      <a:picLocks noChangeAspect="1"/>
                    </pic:cNvPicPr>
                  </pic:nvPicPr>
                  <pic:blipFill rotWithShape="1">
                    <a:blip r:embed="rId9">
                      <a:extLst>
                        <a:ext uri="{28A0092B-C50C-407E-A947-70E740481C1C}">
                          <a14:useLocalDpi xmlns:a14="http://schemas.microsoft.com/office/drawing/2010/main" val="0"/>
                        </a:ext>
                      </a:extLst>
                    </a:blip>
                    <a:srcRect r="31000"/>
                    <a:stretch/>
                  </pic:blipFill>
                  <pic:spPr>
                    <a:xfrm>
                      <a:off x="0" y="0"/>
                      <a:ext cx="5805377" cy="2372274"/>
                    </a:xfrm>
                    <a:prstGeom prst="rect">
                      <a:avLst/>
                    </a:prstGeom>
                  </pic:spPr>
                </pic:pic>
              </a:graphicData>
            </a:graphic>
          </wp:inline>
        </w:drawing>
      </w:r>
    </w:p>
    <w:p w:rsidR="004A6B11" w:rsidRPr="00B044E4" w:rsidRDefault="004A6B11" w:rsidP="00CA379D">
      <w:pPr>
        <w:spacing w:after="0" w:line="240" w:lineRule="auto"/>
        <w:rPr>
          <w:rFonts w:ascii="Cambria" w:hAnsi="Cambria" w:cs="Times New Roman"/>
          <w:sz w:val="32"/>
          <w:szCs w:val="24"/>
        </w:rPr>
      </w:pPr>
    </w:p>
    <w:p w:rsidR="004A6B11" w:rsidRPr="00B044E4" w:rsidRDefault="004A6B11" w:rsidP="00CA379D">
      <w:pPr>
        <w:spacing w:after="0" w:line="240" w:lineRule="auto"/>
        <w:rPr>
          <w:rFonts w:ascii="Cambria" w:hAnsi="Cambria" w:cs="Times New Roman"/>
          <w:i/>
          <w:color w:val="0070C0"/>
          <w:sz w:val="32"/>
          <w:szCs w:val="24"/>
        </w:rPr>
      </w:pPr>
      <w:r w:rsidRPr="00B044E4">
        <w:rPr>
          <w:rFonts w:ascii="Cambria" w:hAnsi="Cambria" w:cs="Times New Roman"/>
          <w:i/>
          <w:color w:val="0070C0"/>
          <w:sz w:val="32"/>
          <w:szCs w:val="24"/>
        </w:rPr>
        <w:t xml:space="preserve">OnlineS3 White Paper </w:t>
      </w:r>
    </w:p>
    <w:p w:rsidR="001433AB" w:rsidRPr="00B044E4" w:rsidRDefault="001433AB" w:rsidP="00CA379D">
      <w:pPr>
        <w:spacing w:after="0" w:line="240" w:lineRule="auto"/>
        <w:rPr>
          <w:rFonts w:ascii="Cambria" w:hAnsi="Cambria" w:cs="Times New Roman"/>
          <w:i/>
          <w:color w:val="0070C0"/>
          <w:sz w:val="32"/>
          <w:szCs w:val="24"/>
        </w:rPr>
      </w:pPr>
      <w:r w:rsidRPr="00B044E4">
        <w:rPr>
          <w:rFonts w:ascii="Cambria" w:hAnsi="Cambria" w:cs="Times New Roman"/>
          <w:i/>
          <w:color w:val="0070C0"/>
          <w:sz w:val="32"/>
          <w:szCs w:val="24"/>
        </w:rPr>
        <w:t>www.onlines3.eu</w:t>
      </w:r>
    </w:p>
    <w:p w:rsidR="005F5B7F" w:rsidRPr="00B044E4" w:rsidRDefault="005F5B7F" w:rsidP="00CA379D">
      <w:pPr>
        <w:spacing w:after="0" w:line="240" w:lineRule="auto"/>
        <w:jc w:val="center"/>
        <w:rPr>
          <w:rFonts w:ascii="Cambria" w:hAnsi="Cambria" w:cs="Times New Roman"/>
          <w:sz w:val="24"/>
          <w:szCs w:val="24"/>
        </w:rPr>
      </w:pPr>
    </w:p>
    <w:p w:rsidR="007A2A81" w:rsidRPr="00B044E4" w:rsidRDefault="007A2A81" w:rsidP="00CA379D">
      <w:pPr>
        <w:spacing w:after="0" w:line="240" w:lineRule="auto"/>
        <w:rPr>
          <w:rFonts w:ascii="Cambria" w:hAnsi="Cambria" w:cs="Times New Roman"/>
          <w:sz w:val="24"/>
          <w:szCs w:val="24"/>
        </w:rPr>
      </w:pPr>
    </w:p>
    <w:p w:rsidR="00B67F15" w:rsidRPr="00B044E4" w:rsidRDefault="00A918AD" w:rsidP="00CA379D">
      <w:pPr>
        <w:spacing w:after="0" w:line="240" w:lineRule="auto"/>
        <w:rPr>
          <w:rFonts w:ascii="Cambria" w:hAnsi="Cambria" w:cs="Times New Roman"/>
          <w:color w:val="0070C0"/>
          <w:sz w:val="28"/>
          <w:szCs w:val="32"/>
        </w:rPr>
      </w:pPr>
      <w:r w:rsidRPr="00B044E4">
        <w:rPr>
          <w:rFonts w:ascii="Cambria" w:hAnsi="Cambria" w:cs="Times New Roman"/>
          <w:color w:val="0070C0"/>
          <w:sz w:val="28"/>
          <w:szCs w:val="32"/>
        </w:rPr>
        <w:t>N. Komninos</w:t>
      </w:r>
      <w:r w:rsidR="00B67F15" w:rsidRPr="00B044E4">
        <w:rPr>
          <w:rFonts w:ascii="Cambria" w:hAnsi="Cambria" w:cs="Times New Roman"/>
          <w:color w:val="0070C0"/>
          <w:sz w:val="28"/>
          <w:szCs w:val="32"/>
        </w:rPr>
        <w:t xml:space="preserve"> (URENIO Research)</w:t>
      </w:r>
    </w:p>
    <w:p w:rsidR="00B67F15" w:rsidRDefault="00A918AD" w:rsidP="00CA379D">
      <w:pPr>
        <w:spacing w:after="0" w:line="240" w:lineRule="auto"/>
        <w:rPr>
          <w:rFonts w:ascii="Cambria" w:hAnsi="Cambria" w:cs="Times New Roman"/>
          <w:color w:val="0070C0"/>
          <w:sz w:val="28"/>
          <w:szCs w:val="32"/>
        </w:rPr>
      </w:pPr>
      <w:r w:rsidRPr="00B044E4">
        <w:rPr>
          <w:rFonts w:ascii="Cambria" w:hAnsi="Cambria" w:cs="Times New Roman"/>
          <w:color w:val="0070C0"/>
          <w:sz w:val="28"/>
          <w:szCs w:val="32"/>
        </w:rPr>
        <w:t>C. Kakderi</w:t>
      </w:r>
      <w:r w:rsidR="00B67F15" w:rsidRPr="00B044E4">
        <w:rPr>
          <w:rFonts w:ascii="Cambria" w:hAnsi="Cambria" w:cs="Times New Roman"/>
          <w:color w:val="0070C0"/>
          <w:sz w:val="28"/>
          <w:szCs w:val="32"/>
        </w:rPr>
        <w:t xml:space="preserve"> and</w:t>
      </w:r>
      <w:r w:rsidRPr="00B044E4">
        <w:rPr>
          <w:rFonts w:ascii="Cambria" w:hAnsi="Cambria" w:cs="Times New Roman"/>
          <w:color w:val="0070C0"/>
          <w:sz w:val="28"/>
          <w:szCs w:val="32"/>
        </w:rPr>
        <w:t xml:space="preserve"> A. Panori</w:t>
      </w:r>
      <w:r w:rsidR="00B67F15" w:rsidRPr="00B044E4">
        <w:rPr>
          <w:rFonts w:ascii="Cambria" w:hAnsi="Cambria" w:cs="Times New Roman"/>
          <w:color w:val="0070C0"/>
          <w:sz w:val="28"/>
          <w:szCs w:val="32"/>
        </w:rPr>
        <w:t xml:space="preserve"> (Intelspace Tech</w:t>
      </w:r>
      <w:r w:rsidR="009A4064" w:rsidRPr="00B044E4">
        <w:rPr>
          <w:rFonts w:ascii="Cambria" w:hAnsi="Cambria" w:cs="Times New Roman"/>
          <w:color w:val="0070C0"/>
          <w:sz w:val="28"/>
          <w:szCs w:val="32"/>
        </w:rPr>
        <w:t>ologies</w:t>
      </w:r>
      <w:r w:rsidR="00B67F15" w:rsidRPr="00B044E4">
        <w:rPr>
          <w:rFonts w:ascii="Cambria" w:hAnsi="Cambria" w:cs="Times New Roman"/>
          <w:color w:val="0070C0"/>
          <w:sz w:val="28"/>
          <w:szCs w:val="32"/>
        </w:rPr>
        <w:t>)</w:t>
      </w:r>
    </w:p>
    <w:p w:rsidR="00C729F6" w:rsidRPr="00C729F6" w:rsidRDefault="00C729F6" w:rsidP="00CA379D">
      <w:pPr>
        <w:spacing w:after="0" w:line="240" w:lineRule="auto"/>
        <w:rPr>
          <w:rFonts w:ascii="Cambria" w:hAnsi="Cambria" w:cs="Times New Roman"/>
          <w:color w:val="0070C0"/>
          <w:sz w:val="28"/>
          <w:szCs w:val="28"/>
        </w:rPr>
      </w:pPr>
      <w:r w:rsidRPr="00C729F6">
        <w:rPr>
          <w:rFonts w:ascii="Cambria" w:hAnsi="Cambria" w:cs="Times New Roman"/>
          <w:color w:val="0070C0"/>
          <w:sz w:val="28"/>
          <w:szCs w:val="28"/>
        </w:rPr>
        <w:t>E. Garcia (</w:t>
      </w:r>
      <w:r w:rsidRPr="00C729F6">
        <w:rPr>
          <w:rFonts w:ascii="Cambria" w:hAnsi="Cambria"/>
          <w:color w:val="0070C0"/>
          <w:sz w:val="28"/>
          <w:szCs w:val="28"/>
        </w:rPr>
        <w:t>Research, Technology Development and Innovation</w:t>
      </w:r>
      <w:r w:rsidRPr="00C729F6">
        <w:rPr>
          <w:rFonts w:ascii="Cambria" w:hAnsi="Cambria"/>
          <w:color w:val="0070C0"/>
          <w:sz w:val="28"/>
          <w:szCs w:val="28"/>
        </w:rPr>
        <w:t>)</w:t>
      </w:r>
    </w:p>
    <w:p w:rsidR="009A4064" w:rsidRPr="00B044E4" w:rsidRDefault="009A4064" w:rsidP="00CA379D">
      <w:pPr>
        <w:spacing w:after="0" w:line="240" w:lineRule="auto"/>
        <w:rPr>
          <w:rFonts w:ascii="Cambria" w:hAnsi="Cambria" w:cs="Times New Roman"/>
          <w:color w:val="0070C0"/>
          <w:sz w:val="28"/>
          <w:szCs w:val="32"/>
        </w:rPr>
      </w:pPr>
      <w:r w:rsidRPr="00B044E4">
        <w:rPr>
          <w:rFonts w:ascii="Cambria" w:hAnsi="Cambria" w:cs="Times New Roman"/>
          <w:color w:val="0070C0"/>
          <w:sz w:val="28"/>
          <w:szCs w:val="32"/>
        </w:rPr>
        <w:t xml:space="preserve">K. Fellnhofer (Research and Innovation Management) </w:t>
      </w:r>
    </w:p>
    <w:p w:rsidR="00B67F15" w:rsidRPr="00B044E4" w:rsidRDefault="00B67F15" w:rsidP="00CA379D">
      <w:pPr>
        <w:spacing w:after="0" w:line="240" w:lineRule="auto"/>
        <w:rPr>
          <w:rFonts w:ascii="Cambria" w:hAnsi="Cambria" w:cs="Times New Roman"/>
          <w:color w:val="0070C0"/>
          <w:sz w:val="28"/>
          <w:szCs w:val="32"/>
        </w:rPr>
      </w:pPr>
      <w:r w:rsidRPr="00B044E4">
        <w:rPr>
          <w:rFonts w:ascii="Cambria" w:hAnsi="Cambria" w:cs="Times New Roman"/>
          <w:color w:val="0070C0"/>
          <w:sz w:val="28"/>
          <w:szCs w:val="32"/>
        </w:rPr>
        <w:t>A. Rei</w:t>
      </w:r>
      <w:bookmarkStart w:id="0" w:name="_GoBack"/>
      <w:bookmarkEnd w:id="0"/>
      <w:r w:rsidRPr="00B044E4">
        <w:rPr>
          <w:rFonts w:ascii="Cambria" w:hAnsi="Cambria" w:cs="Times New Roman"/>
          <w:color w:val="0070C0"/>
          <w:sz w:val="28"/>
          <w:szCs w:val="32"/>
        </w:rPr>
        <w:t>d and V. Cvijanović (</w:t>
      </w:r>
      <w:r w:rsidR="009A4064" w:rsidRPr="00B044E4">
        <w:rPr>
          <w:rFonts w:ascii="Cambria" w:hAnsi="Cambria" w:cs="Times New Roman"/>
          <w:color w:val="0070C0"/>
          <w:sz w:val="28"/>
          <w:szCs w:val="32"/>
        </w:rPr>
        <w:t xml:space="preserve">European Future Innovation System </w:t>
      </w:r>
      <w:r w:rsidRPr="00B044E4">
        <w:rPr>
          <w:rFonts w:ascii="Cambria" w:hAnsi="Cambria" w:cs="Times New Roman"/>
          <w:color w:val="0070C0"/>
          <w:sz w:val="28"/>
          <w:szCs w:val="32"/>
        </w:rPr>
        <w:t>Centre)</w:t>
      </w:r>
    </w:p>
    <w:p w:rsidR="00B67F15" w:rsidRPr="00B044E4" w:rsidRDefault="00B67F15" w:rsidP="00CA379D">
      <w:pPr>
        <w:spacing w:after="0" w:line="240" w:lineRule="auto"/>
        <w:rPr>
          <w:rFonts w:ascii="Cambria" w:hAnsi="Cambria" w:cstheme="minorHAnsi"/>
          <w:color w:val="0070C0"/>
          <w:sz w:val="28"/>
          <w:szCs w:val="32"/>
        </w:rPr>
      </w:pPr>
      <w:r w:rsidRPr="00B044E4">
        <w:rPr>
          <w:rFonts w:ascii="Cambria" w:hAnsi="Cambria" w:cs="Times New Roman"/>
          <w:color w:val="0070C0"/>
          <w:sz w:val="28"/>
          <w:szCs w:val="32"/>
        </w:rPr>
        <w:t>M. Roman (Aalto University)</w:t>
      </w:r>
    </w:p>
    <w:p w:rsidR="00B67F15" w:rsidRPr="00B044E4" w:rsidRDefault="00B67F15" w:rsidP="00CA379D">
      <w:pPr>
        <w:spacing w:after="0" w:line="240" w:lineRule="auto"/>
        <w:rPr>
          <w:rFonts w:ascii="Cambria" w:hAnsi="Cambria" w:cstheme="minorHAnsi"/>
          <w:color w:val="0070C0"/>
          <w:sz w:val="28"/>
          <w:szCs w:val="32"/>
        </w:rPr>
      </w:pPr>
      <w:r w:rsidRPr="00B044E4">
        <w:rPr>
          <w:rFonts w:ascii="Cambria" w:hAnsi="Cambria" w:cstheme="minorHAnsi"/>
          <w:color w:val="0070C0"/>
          <w:sz w:val="28"/>
          <w:szCs w:val="32"/>
        </w:rPr>
        <w:t>M. Deakin, L. Mora, A. Reid (</w:t>
      </w:r>
      <w:r w:rsidR="002613B6" w:rsidRPr="00B044E4">
        <w:rPr>
          <w:rFonts w:ascii="Cambria" w:hAnsi="Cambria" w:cstheme="minorHAnsi"/>
          <w:color w:val="0070C0"/>
          <w:sz w:val="28"/>
          <w:szCs w:val="32"/>
        </w:rPr>
        <w:t>Edinburgh Napier University</w:t>
      </w:r>
      <w:r w:rsidRPr="00B044E4">
        <w:rPr>
          <w:rFonts w:ascii="Cambria" w:hAnsi="Cambria" w:cstheme="minorHAnsi"/>
          <w:color w:val="0070C0"/>
          <w:sz w:val="28"/>
          <w:szCs w:val="32"/>
        </w:rPr>
        <w:t>)</w:t>
      </w:r>
    </w:p>
    <w:p w:rsidR="00D4385F" w:rsidRDefault="00D4385F" w:rsidP="00CA379D">
      <w:pPr>
        <w:spacing w:after="0" w:line="240" w:lineRule="auto"/>
        <w:rPr>
          <w:rFonts w:ascii="Cambria" w:hAnsi="Cambria" w:cs="Times New Roman"/>
          <w:color w:val="0070C0"/>
          <w:sz w:val="32"/>
          <w:szCs w:val="24"/>
        </w:rPr>
      </w:pPr>
    </w:p>
    <w:p w:rsidR="00D4385F" w:rsidRDefault="00D4385F" w:rsidP="00CA379D">
      <w:pPr>
        <w:spacing w:after="0" w:line="240" w:lineRule="auto"/>
        <w:rPr>
          <w:rFonts w:ascii="Cambria" w:hAnsi="Cambria" w:cs="Times New Roman"/>
          <w:color w:val="0070C0"/>
          <w:sz w:val="32"/>
          <w:szCs w:val="24"/>
        </w:rPr>
      </w:pPr>
    </w:p>
    <w:p w:rsidR="00B67F15" w:rsidRPr="00B044E4" w:rsidRDefault="00C729F6" w:rsidP="00CA379D">
      <w:pPr>
        <w:spacing w:after="0" w:line="240" w:lineRule="auto"/>
        <w:rPr>
          <w:rFonts w:ascii="Cambria" w:hAnsi="Cambria" w:cs="Times New Roman"/>
          <w:color w:val="0070C0"/>
          <w:sz w:val="32"/>
          <w:szCs w:val="24"/>
        </w:rPr>
      </w:pPr>
      <w:r w:rsidRPr="00B044E4">
        <w:rPr>
          <w:rFonts w:ascii="Cambria" w:hAnsi="Cambria" w:cs="Times New Roman"/>
          <w:noProof/>
          <w:color w:val="0070C0"/>
          <w:sz w:val="32"/>
          <w:szCs w:val="24"/>
        </w:rPr>
        <mc:AlternateContent>
          <mc:Choice Requires="wps">
            <w:drawing>
              <wp:anchor distT="0" distB="0" distL="114300" distR="114300" simplePos="0" relativeHeight="251660288" behindDoc="0" locked="0" layoutInCell="1" allowOverlap="1" wp14:anchorId="2534067C" wp14:editId="517A86AF">
                <wp:simplePos x="0" y="0"/>
                <wp:positionH relativeFrom="column">
                  <wp:posOffset>-503555</wp:posOffset>
                </wp:positionH>
                <wp:positionV relativeFrom="paragraph">
                  <wp:posOffset>327823</wp:posOffset>
                </wp:positionV>
                <wp:extent cx="6960870" cy="484505"/>
                <wp:effectExtent l="0" t="0" r="0" b="0"/>
                <wp:wrapNone/>
                <wp:docPr id="11" name="Rectangle 5">
                  <a:extLst xmlns:a="http://schemas.openxmlformats.org/drawingml/2006/main"/>
                </wp:docPr>
                <wp:cNvGraphicFramePr/>
                <a:graphic xmlns:a="http://schemas.openxmlformats.org/drawingml/2006/main">
                  <a:graphicData uri="http://schemas.microsoft.com/office/word/2010/wordprocessingShape">
                    <wps:wsp>
                      <wps:cNvSpPr/>
                      <wps:spPr>
                        <a:xfrm>
                          <a:off x="0" y="0"/>
                          <a:ext cx="6960870" cy="48450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453B4" w:rsidRPr="00B32516" w:rsidRDefault="00A453B4" w:rsidP="002C3DC9">
                            <w:pPr>
                              <w:pStyle w:val="NormalWeb"/>
                              <w:jc w:val="center"/>
                              <w:rPr>
                                <w:rFonts w:ascii="Cambria" w:hAnsi="Cambria"/>
                                <w:sz w:val="12"/>
                                <w:szCs w:val="24"/>
                              </w:rPr>
                            </w:pPr>
                            <w:r w:rsidRPr="00B32516">
                              <w:rPr>
                                <w:rFonts w:ascii="Cambria" w:hAnsi="Cambria" w:cstheme="minorBidi"/>
                                <w:color w:val="FFFFFF" w:themeColor="light1"/>
                                <w:kern w:val="24"/>
                                <w:sz w:val="32"/>
                                <w:szCs w:val="56"/>
                                <w:lang w:val="en-GB"/>
                              </w:rPr>
                              <w:t>June 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4067C" id="Rectangle 5" o:spid="_x0000_s1026" style="position:absolute;margin-left:-39.65pt;margin-top:25.8pt;width:548.1pt;height:38.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" fillcolor="#8eaadb [1940]" stroked="f" strokeweight="1pt">
                <v:textbox>
                  <w:txbxContent>
                    <w:p w:rsidR="00A453B4" w:rsidRPr="00B32516" w:rsidRDefault="00A453B4" w:rsidP="002C3DC9">
                      <w:pPr>
                        <w:pStyle w:val="NormalWeb"/>
                        <w:jc w:val="center"/>
                        <w:rPr>
                          <w:rFonts w:ascii="Cambria" w:hAnsi="Cambria"/>
                          <w:sz w:val="12"/>
                          <w:szCs w:val="24"/>
                        </w:rPr>
                      </w:pPr>
                      <w:r w:rsidRPr="00B32516">
                        <w:rPr>
                          <w:rFonts w:ascii="Cambria" w:hAnsi="Cambria" w:cstheme="minorBidi"/>
                          <w:color w:val="FFFFFF" w:themeColor="light1"/>
                          <w:kern w:val="24"/>
                          <w:sz w:val="32"/>
                          <w:szCs w:val="56"/>
                          <w:lang w:val="en-GB"/>
                        </w:rPr>
                        <w:t>June 2018</w:t>
                      </w:r>
                    </w:p>
                  </w:txbxContent>
                </v:textbox>
              </v:rect>
            </w:pict>
          </mc:Fallback>
        </mc:AlternateContent>
      </w:r>
    </w:p>
    <w:p w:rsidR="00B67F15" w:rsidRPr="00B044E4" w:rsidRDefault="00B67F15" w:rsidP="00CA379D">
      <w:pPr>
        <w:spacing w:after="0" w:line="240" w:lineRule="auto"/>
        <w:rPr>
          <w:rFonts w:ascii="Cambria" w:hAnsi="Cambria" w:cs="Times New Roman"/>
          <w:color w:val="0070C0"/>
          <w:sz w:val="32"/>
          <w:szCs w:val="24"/>
        </w:rPr>
      </w:pPr>
    </w:p>
    <w:p w:rsidR="00BD3B7A" w:rsidRDefault="00092A64" w:rsidP="00CA379D">
      <w:pPr>
        <w:spacing w:after="0" w:line="240" w:lineRule="auto"/>
        <w:rPr>
          <w:rFonts w:ascii="Cambria" w:hAnsi="Cambria" w:cs="Times New Roman"/>
          <w:color w:val="0070C0"/>
          <w:sz w:val="32"/>
          <w:szCs w:val="24"/>
        </w:rPr>
      </w:pPr>
      <w:r w:rsidRPr="00B044E4">
        <w:rPr>
          <w:rFonts w:ascii="Cambria" w:hAnsi="Cambria" w:cs="Times New Roman"/>
          <w:color w:val="0070C0"/>
          <w:sz w:val="32"/>
          <w:szCs w:val="24"/>
        </w:rPr>
        <w:br w:type="page"/>
      </w:r>
    </w:p>
    <w:p w:rsidR="00BD3B7A" w:rsidRDefault="00BD3B7A" w:rsidP="00CA379D">
      <w:pPr>
        <w:spacing w:after="0" w:line="240" w:lineRule="auto"/>
        <w:rPr>
          <w:rFonts w:ascii="Cambria" w:hAnsi="Cambria" w:cs="Times New Roman"/>
          <w:color w:val="0070C0"/>
          <w:sz w:val="32"/>
          <w:szCs w:val="24"/>
        </w:rPr>
      </w:pPr>
    </w:p>
    <w:p w:rsidR="002A342C" w:rsidRDefault="002A342C" w:rsidP="00CA379D">
      <w:pPr>
        <w:spacing w:after="0" w:line="240" w:lineRule="auto"/>
        <w:rPr>
          <w:rFonts w:ascii="Cambria" w:hAnsi="Cambria" w:cs="Times New Roman"/>
          <w:b/>
          <w:color w:val="0070C0"/>
          <w:sz w:val="32"/>
          <w:szCs w:val="24"/>
        </w:rPr>
      </w:pPr>
      <w:r w:rsidRPr="00B044E4">
        <w:rPr>
          <w:rFonts w:ascii="Cambria" w:hAnsi="Cambria" w:cs="Times New Roman"/>
          <w:b/>
          <w:color w:val="0070C0"/>
          <w:sz w:val="32"/>
          <w:szCs w:val="24"/>
        </w:rPr>
        <w:t>Table of contents</w:t>
      </w:r>
    </w:p>
    <w:p w:rsidR="0030720F" w:rsidRPr="00B044E4" w:rsidRDefault="0030720F" w:rsidP="00CA379D">
      <w:pPr>
        <w:spacing w:after="0" w:line="240" w:lineRule="auto"/>
        <w:rPr>
          <w:rFonts w:ascii="Cambria" w:hAnsi="Cambria" w:cs="Times New Roman"/>
          <w:b/>
          <w:color w:val="0070C0"/>
          <w:sz w:val="32"/>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9"/>
        <w:gridCol w:w="657"/>
      </w:tblGrid>
      <w:tr w:rsidR="00507656" w:rsidRPr="00507656" w:rsidTr="00E55E12">
        <w:tc>
          <w:tcPr>
            <w:tcW w:w="7849" w:type="dxa"/>
          </w:tcPr>
          <w:p w:rsidR="00507656" w:rsidRPr="00507656" w:rsidRDefault="00507656" w:rsidP="00E55E12">
            <w:pPr>
              <w:spacing w:line="360" w:lineRule="auto"/>
              <w:rPr>
                <w:rFonts w:ascii="Cambria" w:hAnsi="Cambria" w:cs="Times New Roman"/>
                <w:color w:val="0070C0"/>
                <w:sz w:val="24"/>
                <w:szCs w:val="24"/>
              </w:rPr>
            </w:pPr>
            <w:r w:rsidRPr="00507656">
              <w:rPr>
                <w:rFonts w:ascii="Cambria" w:hAnsi="Cambria" w:cs="Times New Roman"/>
                <w:color w:val="0070C0"/>
                <w:sz w:val="24"/>
                <w:szCs w:val="24"/>
              </w:rPr>
              <w:t>1. Introduction: RIS3 and the online S3 project</w:t>
            </w:r>
          </w:p>
        </w:tc>
        <w:tc>
          <w:tcPr>
            <w:tcW w:w="657" w:type="dxa"/>
          </w:tcPr>
          <w:p w:rsidR="00507656" w:rsidRPr="00507656" w:rsidRDefault="00507656" w:rsidP="00E55E12">
            <w:pPr>
              <w:spacing w:line="360" w:lineRule="auto"/>
              <w:jc w:val="right"/>
              <w:rPr>
                <w:rFonts w:ascii="Cambria" w:hAnsi="Cambria" w:cs="Times New Roman"/>
                <w:color w:val="0070C0"/>
                <w:sz w:val="24"/>
                <w:szCs w:val="24"/>
              </w:rPr>
            </w:pPr>
            <w:r>
              <w:rPr>
                <w:rFonts w:ascii="Cambria" w:hAnsi="Cambria" w:cs="Times New Roman"/>
                <w:color w:val="0070C0"/>
                <w:sz w:val="24"/>
                <w:szCs w:val="24"/>
              </w:rPr>
              <w:t>1</w:t>
            </w:r>
          </w:p>
        </w:tc>
      </w:tr>
      <w:tr w:rsidR="00507656" w:rsidRPr="00507656" w:rsidTr="00E55E12">
        <w:tc>
          <w:tcPr>
            <w:tcW w:w="7849" w:type="dxa"/>
          </w:tcPr>
          <w:p w:rsidR="00507656" w:rsidRPr="00507656" w:rsidRDefault="00507656" w:rsidP="00E55E12">
            <w:pPr>
              <w:spacing w:line="360" w:lineRule="auto"/>
              <w:rPr>
                <w:rFonts w:ascii="Cambria" w:hAnsi="Cambria" w:cs="Times New Roman"/>
                <w:color w:val="0070C0"/>
                <w:sz w:val="24"/>
                <w:szCs w:val="24"/>
              </w:rPr>
            </w:pPr>
            <w:r w:rsidRPr="00507656">
              <w:rPr>
                <w:rFonts w:ascii="Cambria" w:hAnsi="Cambria" w:cs="Times New Roman"/>
                <w:color w:val="0070C0"/>
                <w:sz w:val="24"/>
                <w:szCs w:val="24"/>
              </w:rPr>
              <w:t xml:space="preserve">2. RIS3 rational </w:t>
            </w:r>
          </w:p>
        </w:tc>
        <w:tc>
          <w:tcPr>
            <w:tcW w:w="657" w:type="dxa"/>
          </w:tcPr>
          <w:p w:rsidR="00507656" w:rsidRPr="00507656" w:rsidRDefault="00507656" w:rsidP="00E55E12">
            <w:pPr>
              <w:spacing w:line="360" w:lineRule="auto"/>
              <w:jc w:val="right"/>
              <w:rPr>
                <w:rFonts w:ascii="Cambria" w:hAnsi="Cambria" w:cs="Times New Roman"/>
                <w:color w:val="0070C0"/>
                <w:sz w:val="24"/>
                <w:szCs w:val="24"/>
              </w:rPr>
            </w:pPr>
            <w:r>
              <w:rPr>
                <w:rFonts w:ascii="Cambria" w:hAnsi="Cambria" w:cs="Times New Roman"/>
                <w:color w:val="0070C0"/>
                <w:sz w:val="24"/>
                <w:szCs w:val="24"/>
              </w:rPr>
              <w:t>2</w:t>
            </w:r>
          </w:p>
        </w:tc>
      </w:tr>
      <w:tr w:rsidR="00507656" w:rsidRPr="00507656" w:rsidTr="00E55E12">
        <w:tc>
          <w:tcPr>
            <w:tcW w:w="7849" w:type="dxa"/>
          </w:tcPr>
          <w:p w:rsidR="00507656" w:rsidRPr="00507656" w:rsidRDefault="00507656" w:rsidP="00E55E12">
            <w:pPr>
              <w:spacing w:line="360" w:lineRule="auto"/>
              <w:rPr>
                <w:rFonts w:ascii="Cambria" w:hAnsi="Cambria" w:cs="Times New Roman"/>
                <w:color w:val="0070C0"/>
                <w:sz w:val="24"/>
                <w:szCs w:val="24"/>
              </w:rPr>
            </w:pPr>
            <w:r w:rsidRPr="00507656">
              <w:rPr>
                <w:rFonts w:ascii="Cambria" w:hAnsi="Cambria" w:cs="Times New Roman"/>
                <w:color w:val="0070C0"/>
                <w:sz w:val="24"/>
                <w:szCs w:val="24"/>
              </w:rPr>
              <w:t>3. RIS3 in retrospect and prospect</w:t>
            </w:r>
          </w:p>
        </w:tc>
        <w:tc>
          <w:tcPr>
            <w:tcW w:w="657" w:type="dxa"/>
          </w:tcPr>
          <w:p w:rsidR="00507656" w:rsidRPr="00507656" w:rsidRDefault="00507656" w:rsidP="00E55E12">
            <w:pPr>
              <w:spacing w:line="360" w:lineRule="auto"/>
              <w:jc w:val="right"/>
              <w:rPr>
                <w:rFonts w:ascii="Cambria" w:hAnsi="Cambria" w:cs="Times New Roman"/>
                <w:color w:val="0070C0"/>
                <w:sz w:val="24"/>
                <w:szCs w:val="24"/>
              </w:rPr>
            </w:pPr>
            <w:r>
              <w:rPr>
                <w:rFonts w:ascii="Cambria" w:hAnsi="Cambria" w:cs="Times New Roman"/>
                <w:color w:val="0070C0"/>
                <w:sz w:val="24"/>
                <w:szCs w:val="24"/>
              </w:rPr>
              <w:t>5</w:t>
            </w:r>
          </w:p>
        </w:tc>
      </w:tr>
      <w:tr w:rsidR="00507656" w:rsidRPr="00507656" w:rsidTr="00E55E12">
        <w:tc>
          <w:tcPr>
            <w:tcW w:w="7849" w:type="dxa"/>
          </w:tcPr>
          <w:p w:rsidR="00507656" w:rsidRPr="00507656" w:rsidRDefault="00507656" w:rsidP="00E55E12">
            <w:pPr>
              <w:spacing w:line="360" w:lineRule="auto"/>
              <w:rPr>
                <w:rFonts w:ascii="Cambria" w:hAnsi="Cambria" w:cs="Times New Roman"/>
                <w:color w:val="0070C0"/>
                <w:sz w:val="24"/>
                <w:szCs w:val="24"/>
              </w:rPr>
            </w:pPr>
            <w:r w:rsidRPr="00507656">
              <w:rPr>
                <w:rFonts w:ascii="Cambria" w:hAnsi="Cambria" w:cs="Times New Roman"/>
                <w:color w:val="0070C0"/>
                <w:sz w:val="24"/>
                <w:szCs w:val="24"/>
              </w:rPr>
              <w:t>4. Moving RIS3 forward by dataset and software</w:t>
            </w:r>
          </w:p>
        </w:tc>
        <w:tc>
          <w:tcPr>
            <w:tcW w:w="657" w:type="dxa"/>
          </w:tcPr>
          <w:p w:rsidR="00507656" w:rsidRPr="00507656" w:rsidRDefault="00507656" w:rsidP="00E55E12">
            <w:pPr>
              <w:spacing w:line="360" w:lineRule="auto"/>
              <w:jc w:val="right"/>
              <w:rPr>
                <w:rFonts w:ascii="Cambria" w:hAnsi="Cambria" w:cs="Times New Roman"/>
                <w:color w:val="0070C0"/>
                <w:sz w:val="24"/>
                <w:szCs w:val="24"/>
              </w:rPr>
            </w:pPr>
            <w:r>
              <w:rPr>
                <w:rFonts w:ascii="Cambria" w:hAnsi="Cambria" w:cs="Times New Roman"/>
                <w:color w:val="0070C0"/>
                <w:sz w:val="24"/>
                <w:szCs w:val="24"/>
              </w:rPr>
              <w:t>7</w:t>
            </w:r>
          </w:p>
        </w:tc>
      </w:tr>
      <w:tr w:rsidR="00507656" w:rsidRPr="00507656" w:rsidTr="00E55E12">
        <w:tc>
          <w:tcPr>
            <w:tcW w:w="7849" w:type="dxa"/>
          </w:tcPr>
          <w:p w:rsidR="00507656" w:rsidRPr="00507656" w:rsidRDefault="00507656" w:rsidP="00E55E12">
            <w:pPr>
              <w:spacing w:line="360" w:lineRule="auto"/>
              <w:rPr>
                <w:rFonts w:ascii="Cambria" w:hAnsi="Cambria" w:cs="Times New Roman"/>
                <w:color w:val="0070C0"/>
                <w:sz w:val="24"/>
                <w:szCs w:val="24"/>
              </w:rPr>
            </w:pPr>
            <w:r w:rsidRPr="00507656">
              <w:rPr>
                <w:rFonts w:ascii="Cambria" w:hAnsi="Cambria" w:cs="Times New Roman"/>
                <w:color w:val="0070C0"/>
                <w:sz w:val="24"/>
                <w:szCs w:val="24"/>
              </w:rPr>
              <w:t xml:space="preserve">5. Moving RIS3 forward by co-design and collective intelligence </w:t>
            </w:r>
          </w:p>
        </w:tc>
        <w:tc>
          <w:tcPr>
            <w:tcW w:w="657" w:type="dxa"/>
          </w:tcPr>
          <w:p w:rsidR="00507656" w:rsidRPr="00507656" w:rsidRDefault="00507656" w:rsidP="00E55E12">
            <w:pPr>
              <w:spacing w:line="360" w:lineRule="auto"/>
              <w:jc w:val="right"/>
              <w:rPr>
                <w:rFonts w:ascii="Cambria" w:hAnsi="Cambria" w:cs="Times New Roman"/>
                <w:color w:val="0070C0"/>
                <w:sz w:val="24"/>
                <w:szCs w:val="24"/>
              </w:rPr>
            </w:pPr>
            <w:r>
              <w:rPr>
                <w:rFonts w:ascii="Cambria" w:hAnsi="Cambria" w:cs="Times New Roman"/>
                <w:color w:val="0070C0"/>
                <w:sz w:val="24"/>
                <w:szCs w:val="24"/>
              </w:rPr>
              <w:t>9</w:t>
            </w:r>
          </w:p>
        </w:tc>
      </w:tr>
      <w:tr w:rsidR="00507656" w:rsidRPr="00507656" w:rsidTr="00E55E12">
        <w:tc>
          <w:tcPr>
            <w:tcW w:w="7849" w:type="dxa"/>
          </w:tcPr>
          <w:p w:rsidR="00507656" w:rsidRPr="00507656" w:rsidRDefault="00507656" w:rsidP="00E55E12">
            <w:pPr>
              <w:spacing w:line="360" w:lineRule="auto"/>
              <w:rPr>
                <w:rFonts w:ascii="Cambria" w:hAnsi="Cambria" w:cs="Times New Roman"/>
                <w:color w:val="0070C0"/>
                <w:sz w:val="24"/>
                <w:szCs w:val="24"/>
              </w:rPr>
            </w:pPr>
            <w:r w:rsidRPr="00507656">
              <w:rPr>
                <w:rFonts w:ascii="Cambria" w:hAnsi="Cambria" w:cs="Times New Roman"/>
                <w:color w:val="0070C0"/>
                <w:sz w:val="24"/>
                <w:szCs w:val="24"/>
              </w:rPr>
              <w:t xml:space="preserve">6. Moving RIS3 forward: from triple to quadruple helix  </w:t>
            </w:r>
          </w:p>
        </w:tc>
        <w:tc>
          <w:tcPr>
            <w:tcW w:w="657" w:type="dxa"/>
          </w:tcPr>
          <w:p w:rsidR="00507656" w:rsidRPr="00507656" w:rsidRDefault="00507656" w:rsidP="00E55E12">
            <w:pPr>
              <w:spacing w:line="360" w:lineRule="auto"/>
              <w:jc w:val="right"/>
              <w:rPr>
                <w:rFonts w:ascii="Cambria" w:hAnsi="Cambria" w:cs="Times New Roman"/>
                <w:color w:val="0070C0"/>
                <w:sz w:val="24"/>
                <w:szCs w:val="24"/>
              </w:rPr>
            </w:pPr>
            <w:r>
              <w:rPr>
                <w:rFonts w:ascii="Cambria" w:hAnsi="Cambria" w:cs="Times New Roman"/>
                <w:color w:val="0070C0"/>
                <w:sz w:val="24"/>
                <w:szCs w:val="24"/>
              </w:rPr>
              <w:t>11</w:t>
            </w:r>
          </w:p>
        </w:tc>
      </w:tr>
      <w:tr w:rsidR="00507656" w:rsidRPr="00507656" w:rsidTr="00E55E12">
        <w:tc>
          <w:tcPr>
            <w:tcW w:w="7849" w:type="dxa"/>
          </w:tcPr>
          <w:p w:rsidR="00507656" w:rsidRPr="00507656" w:rsidRDefault="00507656" w:rsidP="00E55E12">
            <w:pPr>
              <w:spacing w:line="360" w:lineRule="auto"/>
              <w:rPr>
                <w:rFonts w:ascii="Cambria" w:hAnsi="Cambria" w:cs="Times New Roman"/>
                <w:color w:val="0070C0"/>
                <w:sz w:val="24"/>
                <w:szCs w:val="24"/>
              </w:rPr>
            </w:pPr>
            <w:r w:rsidRPr="00507656">
              <w:rPr>
                <w:rFonts w:ascii="Cambria" w:hAnsi="Cambria" w:cs="Times New Roman"/>
                <w:color w:val="0070C0"/>
                <w:sz w:val="24"/>
                <w:szCs w:val="24"/>
              </w:rPr>
              <w:t>7. Conclusions: Towards the next stage of RIS3</w:t>
            </w:r>
          </w:p>
        </w:tc>
        <w:tc>
          <w:tcPr>
            <w:tcW w:w="657" w:type="dxa"/>
          </w:tcPr>
          <w:p w:rsidR="00507656" w:rsidRPr="00507656" w:rsidRDefault="00507656" w:rsidP="00E55E12">
            <w:pPr>
              <w:spacing w:line="360" w:lineRule="auto"/>
              <w:jc w:val="right"/>
              <w:rPr>
                <w:rFonts w:ascii="Cambria" w:hAnsi="Cambria" w:cs="Times New Roman"/>
                <w:color w:val="0070C0"/>
                <w:sz w:val="24"/>
                <w:szCs w:val="24"/>
              </w:rPr>
            </w:pPr>
            <w:r>
              <w:rPr>
                <w:rFonts w:ascii="Cambria" w:hAnsi="Cambria" w:cs="Times New Roman"/>
                <w:color w:val="0070C0"/>
                <w:sz w:val="24"/>
                <w:szCs w:val="24"/>
              </w:rPr>
              <w:t>14</w:t>
            </w:r>
          </w:p>
        </w:tc>
      </w:tr>
      <w:tr w:rsidR="00507656" w:rsidRPr="00507656" w:rsidTr="00E55E12">
        <w:tc>
          <w:tcPr>
            <w:tcW w:w="7849" w:type="dxa"/>
          </w:tcPr>
          <w:p w:rsidR="00507656" w:rsidRPr="00507656" w:rsidRDefault="00507656" w:rsidP="00E55E12">
            <w:pPr>
              <w:spacing w:line="360" w:lineRule="auto"/>
              <w:rPr>
                <w:rFonts w:ascii="Cambria" w:hAnsi="Cambria" w:cs="Times New Roman"/>
                <w:color w:val="0070C0"/>
                <w:sz w:val="24"/>
                <w:szCs w:val="24"/>
              </w:rPr>
            </w:pPr>
            <w:r w:rsidRPr="00507656">
              <w:rPr>
                <w:rFonts w:ascii="Cambria" w:hAnsi="Cambria" w:cs="Times New Roman"/>
                <w:color w:val="0070C0"/>
                <w:sz w:val="24"/>
                <w:szCs w:val="24"/>
              </w:rPr>
              <w:t>References</w:t>
            </w:r>
          </w:p>
        </w:tc>
        <w:tc>
          <w:tcPr>
            <w:tcW w:w="657" w:type="dxa"/>
          </w:tcPr>
          <w:p w:rsidR="00507656" w:rsidRPr="00507656" w:rsidRDefault="00507656" w:rsidP="00E55E12">
            <w:pPr>
              <w:spacing w:line="360" w:lineRule="auto"/>
              <w:jc w:val="right"/>
              <w:rPr>
                <w:rFonts w:ascii="Cambria" w:hAnsi="Cambria" w:cs="Times New Roman"/>
                <w:color w:val="0070C0"/>
                <w:sz w:val="24"/>
                <w:szCs w:val="24"/>
              </w:rPr>
            </w:pPr>
            <w:r>
              <w:rPr>
                <w:rFonts w:ascii="Cambria" w:hAnsi="Cambria" w:cs="Times New Roman"/>
                <w:color w:val="0070C0"/>
                <w:sz w:val="24"/>
                <w:szCs w:val="24"/>
              </w:rPr>
              <w:t>18</w:t>
            </w:r>
          </w:p>
        </w:tc>
      </w:tr>
      <w:tr w:rsidR="00507656" w:rsidRPr="00507656" w:rsidTr="00E55E12">
        <w:tc>
          <w:tcPr>
            <w:tcW w:w="7849" w:type="dxa"/>
          </w:tcPr>
          <w:p w:rsidR="00507656" w:rsidRPr="00507656" w:rsidRDefault="00507656" w:rsidP="00E55E12">
            <w:pPr>
              <w:spacing w:line="360" w:lineRule="auto"/>
              <w:rPr>
                <w:rFonts w:ascii="Cambria" w:hAnsi="Cambria" w:cs="Times New Roman"/>
                <w:color w:val="0070C0"/>
                <w:sz w:val="20"/>
                <w:szCs w:val="24"/>
              </w:rPr>
            </w:pPr>
            <w:r w:rsidRPr="00507656">
              <w:rPr>
                <w:color w:val="0070C0"/>
                <w:sz w:val="24"/>
              </w:rPr>
              <w:t>Annex: A brief outline of RIS3 applications and roadmaps</w:t>
            </w:r>
          </w:p>
        </w:tc>
        <w:tc>
          <w:tcPr>
            <w:tcW w:w="657" w:type="dxa"/>
          </w:tcPr>
          <w:p w:rsidR="00507656" w:rsidRPr="00507656" w:rsidRDefault="00507656" w:rsidP="00E55E12">
            <w:pPr>
              <w:spacing w:line="360" w:lineRule="auto"/>
              <w:jc w:val="right"/>
              <w:rPr>
                <w:color w:val="0070C0"/>
                <w:sz w:val="24"/>
              </w:rPr>
            </w:pPr>
            <w:r>
              <w:rPr>
                <w:color w:val="0070C0"/>
                <w:sz w:val="24"/>
              </w:rPr>
              <w:t>24</w:t>
            </w:r>
          </w:p>
        </w:tc>
      </w:tr>
    </w:tbl>
    <w:p w:rsidR="002A342C" w:rsidRPr="00B044E4" w:rsidRDefault="002A342C" w:rsidP="0013221A">
      <w:pPr>
        <w:spacing w:after="0" w:line="360" w:lineRule="auto"/>
        <w:rPr>
          <w:rFonts w:ascii="Cambria" w:hAnsi="Cambria" w:cs="Times New Roman"/>
          <w:color w:val="0070C0"/>
          <w:sz w:val="32"/>
          <w:szCs w:val="24"/>
        </w:rPr>
      </w:pPr>
    </w:p>
    <w:p w:rsidR="00E24194" w:rsidRPr="00B044E4" w:rsidRDefault="00E24194" w:rsidP="0013221A">
      <w:pPr>
        <w:spacing w:after="0" w:line="360" w:lineRule="auto"/>
        <w:rPr>
          <w:rFonts w:ascii="Cambria" w:hAnsi="Cambria" w:cs="Times New Roman"/>
          <w:color w:val="0070C0"/>
          <w:sz w:val="32"/>
          <w:szCs w:val="24"/>
        </w:rPr>
      </w:pPr>
    </w:p>
    <w:p w:rsidR="00E24194" w:rsidRPr="00B044E4" w:rsidRDefault="00E24194" w:rsidP="00CA379D">
      <w:pPr>
        <w:spacing w:after="0" w:line="240" w:lineRule="auto"/>
        <w:rPr>
          <w:rFonts w:ascii="Cambria" w:hAnsi="Cambria" w:cs="Times New Roman"/>
          <w:color w:val="0070C0"/>
          <w:sz w:val="32"/>
          <w:szCs w:val="24"/>
        </w:rPr>
      </w:pPr>
    </w:p>
    <w:p w:rsidR="00E24194" w:rsidRPr="00B044E4" w:rsidRDefault="00E24194" w:rsidP="00CA379D">
      <w:pPr>
        <w:spacing w:after="0" w:line="240" w:lineRule="auto"/>
        <w:rPr>
          <w:rFonts w:ascii="Cambria" w:hAnsi="Cambria" w:cs="Times New Roman"/>
          <w:color w:val="0070C0"/>
          <w:sz w:val="32"/>
          <w:szCs w:val="24"/>
        </w:rPr>
      </w:pPr>
    </w:p>
    <w:p w:rsidR="00E24194" w:rsidRPr="00B044E4" w:rsidRDefault="00E24194" w:rsidP="00CA379D">
      <w:pPr>
        <w:spacing w:after="0" w:line="240" w:lineRule="auto"/>
        <w:rPr>
          <w:rFonts w:ascii="Cambria" w:hAnsi="Cambria" w:cs="Times New Roman"/>
          <w:color w:val="0070C0"/>
          <w:sz w:val="32"/>
          <w:szCs w:val="24"/>
        </w:rPr>
      </w:pPr>
    </w:p>
    <w:p w:rsidR="0077222D" w:rsidRPr="00B044E4" w:rsidRDefault="0077222D" w:rsidP="00CA379D">
      <w:pPr>
        <w:spacing w:after="0" w:line="240" w:lineRule="auto"/>
        <w:rPr>
          <w:rFonts w:ascii="Cambria" w:hAnsi="Cambria" w:cs="Times New Roman"/>
          <w:color w:val="0070C0"/>
          <w:sz w:val="32"/>
          <w:szCs w:val="24"/>
        </w:rPr>
      </w:pPr>
    </w:p>
    <w:p w:rsidR="005F5ABA" w:rsidRPr="00B044E4" w:rsidRDefault="005F5ABA" w:rsidP="00CA379D">
      <w:pPr>
        <w:spacing w:after="0" w:line="240" w:lineRule="auto"/>
        <w:rPr>
          <w:rFonts w:ascii="Cambria" w:hAnsi="Cambria" w:cs="Times New Roman"/>
          <w:b/>
          <w:color w:val="0070C0"/>
          <w:sz w:val="32"/>
          <w:szCs w:val="24"/>
        </w:rPr>
      </w:pPr>
    </w:p>
    <w:p w:rsidR="0013221A" w:rsidRDefault="0013221A" w:rsidP="00CA379D">
      <w:pPr>
        <w:spacing w:after="0" w:line="240" w:lineRule="auto"/>
        <w:rPr>
          <w:rFonts w:ascii="Cambria" w:hAnsi="Cambria" w:cs="Times New Roman"/>
          <w:b/>
          <w:color w:val="0070C0"/>
          <w:sz w:val="32"/>
          <w:szCs w:val="24"/>
        </w:rPr>
      </w:pPr>
    </w:p>
    <w:p w:rsidR="0013221A" w:rsidRDefault="0013221A" w:rsidP="00CA379D">
      <w:pPr>
        <w:spacing w:after="0" w:line="240" w:lineRule="auto"/>
        <w:rPr>
          <w:rFonts w:ascii="Cambria" w:hAnsi="Cambria" w:cs="Times New Roman"/>
          <w:b/>
          <w:color w:val="0070C0"/>
          <w:szCs w:val="24"/>
        </w:rPr>
      </w:pPr>
    </w:p>
    <w:p w:rsidR="00C729F6" w:rsidRPr="00C729F6" w:rsidRDefault="00C729F6" w:rsidP="00CA379D">
      <w:pPr>
        <w:spacing w:after="0" w:line="240" w:lineRule="auto"/>
        <w:rPr>
          <w:rFonts w:ascii="Cambria" w:hAnsi="Cambria" w:cs="Times New Roman"/>
          <w:b/>
          <w:color w:val="0070C0"/>
          <w:szCs w:val="24"/>
        </w:rPr>
      </w:pPr>
    </w:p>
    <w:p w:rsidR="002A342C" w:rsidRPr="00B044E4" w:rsidRDefault="002A342C" w:rsidP="00CA379D">
      <w:pPr>
        <w:spacing w:after="0" w:line="240" w:lineRule="auto"/>
        <w:rPr>
          <w:rFonts w:ascii="Cambria" w:hAnsi="Cambria" w:cs="Times New Roman"/>
          <w:b/>
          <w:color w:val="0070C0"/>
          <w:sz w:val="32"/>
          <w:szCs w:val="24"/>
        </w:rPr>
      </w:pPr>
      <w:r w:rsidRPr="00B044E4">
        <w:rPr>
          <w:rFonts w:ascii="Cambria" w:hAnsi="Cambria" w:cs="Times New Roman"/>
          <w:b/>
          <w:color w:val="0070C0"/>
          <w:sz w:val="32"/>
          <w:szCs w:val="24"/>
        </w:rPr>
        <w:t>Abstract</w:t>
      </w:r>
    </w:p>
    <w:p w:rsidR="008A0469" w:rsidRDefault="008A0469" w:rsidP="00CA379D">
      <w:pPr>
        <w:spacing w:after="0" w:line="240" w:lineRule="auto"/>
        <w:jc w:val="both"/>
        <w:rPr>
          <w:rFonts w:ascii="Cambria" w:hAnsi="Cambria" w:cs="Times New Roman"/>
          <w:color w:val="000000" w:themeColor="text1"/>
          <w:szCs w:val="24"/>
        </w:rPr>
      </w:pPr>
    </w:p>
    <w:p w:rsidR="00993042" w:rsidRPr="00B044E4" w:rsidRDefault="00012994" w:rsidP="00CA379D">
      <w:pPr>
        <w:spacing w:after="0" w:line="240" w:lineRule="auto"/>
        <w:jc w:val="both"/>
        <w:rPr>
          <w:rFonts w:ascii="Cambria" w:hAnsi="Cambria" w:cs="Times New Roman"/>
          <w:color w:val="000000" w:themeColor="text1"/>
          <w:szCs w:val="24"/>
        </w:rPr>
      </w:pPr>
      <w:r w:rsidRPr="00B044E4">
        <w:rPr>
          <w:rFonts w:ascii="Cambria" w:hAnsi="Cambria" w:cs="Times New Roman"/>
          <w:color w:val="000000" w:themeColor="text1"/>
          <w:szCs w:val="24"/>
        </w:rPr>
        <w:t xml:space="preserve">The white paper on </w:t>
      </w:r>
      <w:r w:rsidR="00DE3309" w:rsidRPr="00B044E4">
        <w:rPr>
          <w:rFonts w:ascii="Cambria" w:hAnsi="Cambria" w:cs="Times New Roman"/>
          <w:color w:val="000000" w:themeColor="text1"/>
          <w:szCs w:val="24"/>
        </w:rPr>
        <w:t>“</w:t>
      </w:r>
      <w:r w:rsidRPr="00B044E4">
        <w:rPr>
          <w:rFonts w:ascii="Cambria" w:hAnsi="Cambria" w:cs="Times New Roman"/>
          <w:color w:val="000000" w:themeColor="text1"/>
          <w:szCs w:val="24"/>
        </w:rPr>
        <w:t>Intelligence and Co-creation in Smart Specialisation Strategies</w:t>
      </w:r>
      <w:r w:rsidR="00DE3309" w:rsidRPr="00B044E4">
        <w:rPr>
          <w:rFonts w:ascii="Cambria" w:hAnsi="Cambria" w:cs="Times New Roman"/>
          <w:color w:val="000000" w:themeColor="text1"/>
          <w:szCs w:val="24"/>
        </w:rPr>
        <w:t>”</w:t>
      </w:r>
      <w:r w:rsidRPr="00B044E4">
        <w:rPr>
          <w:rFonts w:ascii="Cambria" w:hAnsi="Cambria" w:cs="Times New Roman"/>
          <w:color w:val="000000" w:themeColor="text1"/>
          <w:szCs w:val="24"/>
        </w:rPr>
        <w:t xml:space="preserve"> outlines some key conclusions from the Online S3 project, funded under the Horizon 2020 programme of the European Commission. </w:t>
      </w:r>
      <w:r w:rsidR="00993042" w:rsidRPr="00B044E4">
        <w:rPr>
          <w:rFonts w:ascii="Cambria" w:hAnsi="Cambria" w:cs="Times New Roman"/>
          <w:color w:val="000000" w:themeColor="text1"/>
          <w:szCs w:val="24"/>
        </w:rPr>
        <w:t>The</w:t>
      </w:r>
      <w:r w:rsidRPr="00B044E4">
        <w:rPr>
          <w:rFonts w:ascii="Cambria" w:hAnsi="Cambria" w:cs="Times New Roman"/>
          <w:color w:val="000000" w:themeColor="text1"/>
          <w:szCs w:val="24"/>
        </w:rPr>
        <w:t xml:space="preserve"> Online S3 has produced a web platform</w:t>
      </w:r>
      <w:r w:rsidR="00993042" w:rsidRPr="00B044E4">
        <w:rPr>
          <w:rFonts w:ascii="Cambria" w:hAnsi="Cambria" w:cs="Times New Roman"/>
          <w:color w:val="000000" w:themeColor="text1"/>
          <w:szCs w:val="24"/>
        </w:rPr>
        <w:t xml:space="preserve"> composed of software</w:t>
      </w:r>
      <w:r w:rsidR="00DE3309" w:rsidRPr="00B044E4">
        <w:rPr>
          <w:rFonts w:ascii="Cambria" w:hAnsi="Cambria" w:cs="Times New Roman"/>
          <w:color w:val="000000" w:themeColor="text1"/>
          <w:szCs w:val="24"/>
        </w:rPr>
        <w:t xml:space="preserve"> applications and roadmaps</w:t>
      </w:r>
      <w:r w:rsidR="00993042" w:rsidRPr="00B044E4">
        <w:rPr>
          <w:rFonts w:ascii="Cambria" w:hAnsi="Cambria" w:cs="Times New Roman"/>
          <w:color w:val="000000" w:themeColor="text1"/>
          <w:szCs w:val="24"/>
        </w:rPr>
        <w:t xml:space="preserve"> that facilitate</w:t>
      </w:r>
      <w:r w:rsidRPr="00B044E4">
        <w:rPr>
          <w:rFonts w:ascii="Cambria" w:hAnsi="Cambria" w:cs="Times New Roman"/>
          <w:color w:val="000000" w:themeColor="text1"/>
          <w:szCs w:val="24"/>
        </w:rPr>
        <w:t xml:space="preserve"> the </w:t>
      </w:r>
      <w:r w:rsidR="00DE3309" w:rsidRPr="00B044E4">
        <w:rPr>
          <w:rFonts w:ascii="Cambria" w:hAnsi="Cambria" w:cs="Times New Roman"/>
          <w:color w:val="000000" w:themeColor="text1"/>
          <w:szCs w:val="24"/>
        </w:rPr>
        <w:t xml:space="preserve">design and </w:t>
      </w:r>
      <w:r w:rsidRPr="00B044E4">
        <w:rPr>
          <w:rFonts w:ascii="Cambria" w:hAnsi="Cambria" w:cs="Times New Roman"/>
          <w:color w:val="000000" w:themeColor="text1"/>
          <w:szCs w:val="24"/>
        </w:rPr>
        <w:t xml:space="preserve">implementation </w:t>
      </w:r>
      <w:r w:rsidR="00DE3309" w:rsidRPr="00B044E4">
        <w:rPr>
          <w:rFonts w:ascii="Cambria" w:hAnsi="Cambria" w:cs="Times New Roman"/>
          <w:color w:val="000000" w:themeColor="text1"/>
          <w:szCs w:val="24"/>
        </w:rPr>
        <w:t xml:space="preserve">of Research and Innovation Strategies for Smart Specialisation (RIS3). </w:t>
      </w:r>
      <w:r w:rsidR="001E7ABD">
        <w:rPr>
          <w:rFonts w:ascii="Cambria" w:hAnsi="Cambria" w:cs="Times New Roman"/>
          <w:color w:val="000000" w:themeColor="text1"/>
          <w:szCs w:val="24"/>
        </w:rPr>
        <w:t xml:space="preserve">Using </w:t>
      </w:r>
      <w:r w:rsidRPr="00B044E4">
        <w:rPr>
          <w:rFonts w:ascii="Cambria" w:hAnsi="Cambria" w:cs="Times New Roman"/>
          <w:color w:val="000000" w:themeColor="text1"/>
          <w:szCs w:val="24"/>
        </w:rPr>
        <w:t>main method</w:t>
      </w:r>
      <w:r w:rsidR="00993042" w:rsidRPr="00B044E4">
        <w:rPr>
          <w:rFonts w:ascii="Cambria" w:hAnsi="Cambria" w:cs="Times New Roman"/>
          <w:color w:val="000000" w:themeColor="text1"/>
          <w:szCs w:val="24"/>
        </w:rPr>
        <w:t>ologies</w:t>
      </w:r>
      <w:r w:rsidRPr="00B044E4">
        <w:rPr>
          <w:rFonts w:ascii="Cambria" w:hAnsi="Cambria" w:cs="Times New Roman"/>
          <w:color w:val="000000" w:themeColor="text1"/>
          <w:szCs w:val="24"/>
        </w:rPr>
        <w:t xml:space="preserve"> </w:t>
      </w:r>
      <w:r w:rsidR="00DE3309" w:rsidRPr="00B044E4">
        <w:rPr>
          <w:rFonts w:ascii="Cambria" w:hAnsi="Cambria" w:cs="Times New Roman"/>
          <w:color w:val="000000" w:themeColor="text1"/>
          <w:szCs w:val="24"/>
        </w:rPr>
        <w:t xml:space="preserve">for strategy design, Online S3 </w:t>
      </w:r>
      <w:r w:rsidR="001E7ABD">
        <w:rPr>
          <w:rFonts w:ascii="Cambria" w:hAnsi="Cambria" w:cs="Times New Roman"/>
          <w:color w:val="000000" w:themeColor="text1"/>
          <w:szCs w:val="24"/>
        </w:rPr>
        <w:t xml:space="preserve">is </w:t>
      </w:r>
      <w:r w:rsidR="00DE3309" w:rsidRPr="00B044E4">
        <w:rPr>
          <w:rFonts w:ascii="Cambria" w:hAnsi="Cambria" w:cs="Times New Roman"/>
          <w:color w:val="000000" w:themeColor="text1"/>
          <w:szCs w:val="24"/>
        </w:rPr>
        <w:t>advanc</w:t>
      </w:r>
      <w:r w:rsidR="001E7ABD">
        <w:rPr>
          <w:rFonts w:ascii="Cambria" w:hAnsi="Cambria" w:cs="Times New Roman"/>
          <w:color w:val="000000" w:themeColor="text1"/>
          <w:szCs w:val="24"/>
        </w:rPr>
        <w:t xml:space="preserve">ing </w:t>
      </w:r>
      <w:r w:rsidR="00DE3309" w:rsidRPr="00B044E4">
        <w:rPr>
          <w:rFonts w:ascii="Cambria" w:hAnsi="Cambria" w:cs="Times New Roman"/>
          <w:color w:val="000000" w:themeColor="text1"/>
          <w:szCs w:val="24"/>
        </w:rPr>
        <w:t xml:space="preserve">the understanding of RIS3 as </w:t>
      </w:r>
      <w:r w:rsidR="002A342C" w:rsidRPr="00B044E4">
        <w:rPr>
          <w:rFonts w:ascii="Cambria" w:hAnsi="Cambria" w:cs="Times New Roman"/>
          <w:color w:val="000000" w:themeColor="text1"/>
          <w:szCs w:val="24"/>
        </w:rPr>
        <w:t>place-based and evidence</w:t>
      </w:r>
      <w:r w:rsidR="00DE3309" w:rsidRPr="00B044E4">
        <w:rPr>
          <w:rFonts w:ascii="Cambria" w:hAnsi="Cambria" w:cs="Times New Roman"/>
          <w:color w:val="000000" w:themeColor="text1"/>
          <w:szCs w:val="24"/>
        </w:rPr>
        <w:t>-</w:t>
      </w:r>
      <w:r w:rsidR="002A342C" w:rsidRPr="00B044E4">
        <w:rPr>
          <w:rFonts w:ascii="Cambria" w:hAnsi="Cambria" w:cs="Times New Roman"/>
          <w:color w:val="000000" w:themeColor="text1"/>
          <w:szCs w:val="24"/>
        </w:rPr>
        <w:t xml:space="preserve">driven </w:t>
      </w:r>
      <w:r w:rsidR="00993042" w:rsidRPr="00B044E4">
        <w:rPr>
          <w:rFonts w:ascii="Cambria" w:hAnsi="Cambria" w:cs="Times New Roman"/>
          <w:color w:val="000000" w:themeColor="text1"/>
          <w:szCs w:val="24"/>
        </w:rPr>
        <w:t>innovation policy,</w:t>
      </w:r>
      <w:r w:rsidR="00DE3309" w:rsidRPr="00B044E4">
        <w:rPr>
          <w:rFonts w:ascii="Cambria" w:hAnsi="Cambria" w:cs="Times New Roman"/>
          <w:color w:val="000000" w:themeColor="text1"/>
          <w:szCs w:val="24"/>
        </w:rPr>
        <w:t xml:space="preserve"> relying on </w:t>
      </w:r>
      <w:r w:rsidR="00993042" w:rsidRPr="00B044E4">
        <w:rPr>
          <w:rFonts w:ascii="Cambria" w:hAnsi="Cambria" w:cs="Times New Roman"/>
          <w:color w:val="000000" w:themeColor="text1"/>
          <w:szCs w:val="24"/>
        </w:rPr>
        <w:t xml:space="preserve">large </w:t>
      </w:r>
      <w:r w:rsidR="001E7ABD">
        <w:rPr>
          <w:rFonts w:ascii="Cambria" w:hAnsi="Cambria" w:cs="Times New Roman"/>
          <w:color w:val="000000" w:themeColor="text1"/>
          <w:szCs w:val="24"/>
        </w:rPr>
        <w:t>datasets and software for</w:t>
      </w:r>
      <w:r w:rsidR="00DE3309" w:rsidRPr="00B044E4">
        <w:rPr>
          <w:rFonts w:ascii="Cambria" w:hAnsi="Cambria" w:cs="Times New Roman"/>
          <w:color w:val="000000" w:themeColor="text1"/>
          <w:szCs w:val="24"/>
        </w:rPr>
        <w:t xml:space="preserve"> user engagement</w:t>
      </w:r>
      <w:r w:rsidR="001E7ABD">
        <w:rPr>
          <w:rFonts w:ascii="Cambria" w:hAnsi="Cambria" w:cs="Times New Roman"/>
          <w:color w:val="000000" w:themeColor="text1"/>
          <w:szCs w:val="24"/>
        </w:rPr>
        <w:t>,</w:t>
      </w:r>
      <w:r w:rsidR="00DE3309" w:rsidRPr="00B044E4">
        <w:rPr>
          <w:rFonts w:ascii="Cambria" w:hAnsi="Cambria" w:cs="Times New Roman"/>
          <w:color w:val="000000" w:themeColor="text1"/>
          <w:szCs w:val="24"/>
        </w:rPr>
        <w:t xml:space="preserve"> co-creation, and collective intelligence</w:t>
      </w:r>
      <w:r w:rsidR="00993042" w:rsidRPr="00B044E4">
        <w:rPr>
          <w:rFonts w:ascii="Cambria" w:hAnsi="Cambria" w:cs="Times New Roman"/>
          <w:color w:val="000000" w:themeColor="text1"/>
          <w:szCs w:val="24"/>
        </w:rPr>
        <w:t xml:space="preserve"> in policy design</w:t>
      </w:r>
      <w:r w:rsidR="00DE3309" w:rsidRPr="00B044E4">
        <w:rPr>
          <w:rFonts w:ascii="Cambria" w:hAnsi="Cambria" w:cs="Times New Roman"/>
          <w:color w:val="000000" w:themeColor="text1"/>
          <w:szCs w:val="24"/>
        </w:rPr>
        <w:t xml:space="preserve">. </w:t>
      </w:r>
      <w:r w:rsidR="001E7ABD">
        <w:rPr>
          <w:rFonts w:ascii="Cambria" w:hAnsi="Cambria" w:cs="Times New Roman"/>
          <w:color w:val="000000" w:themeColor="text1"/>
          <w:szCs w:val="24"/>
        </w:rPr>
        <w:t>In the paper, w</w:t>
      </w:r>
      <w:r w:rsidR="00DE3309" w:rsidRPr="00B044E4">
        <w:rPr>
          <w:rFonts w:ascii="Cambria" w:hAnsi="Cambria" w:cs="Times New Roman"/>
          <w:color w:val="000000" w:themeColor="text1"/>
          <w:szCs w:val="24"/>
        </w:rPr>
        <w:t xml:space="preserve">e discuss the </w:t>
      </w:r>
      <w:r w:rsidR="002A342C" w:rsidRPr="00B044E4">
        <w:rPr>
          <w:rFonts w:ascii="Cambria" w:hAnsi="Cambria" w:cs="Times New Roman"/>
          <w:color w:val="000000" w:themeColor="text1"/>
          <w:szCs w:val="24"/>
        </w:rPr>
        <w:t xml:space="preserve">building blocks of S3, </w:t>
      </w:r>
      <w:r w:rsidR="001E7ABD">
        <w:rPr>
          <w:rFonts w:ascii="Cambria" w:hAnsi="Cambria" w:cs="Times New Roman"/>
          <w:color w:val="000000" w:themeColor="text1"/>
          <w:szCs w:val="24"/>
        </w:rPr>
        <w:t xml:space="preserve">as these </w:t>
      </w:r>
      <w:r w:rsidR="002A342C" w:rsidRPr="00B044E4">
        <w:rPr>
          <w:rFonts w:ascii="Cambria" w:hAnsi="Cambria" w:cs="Times New Roman"/>
          <w:color w:val="000000" w:themeColor="text1"/>
          <w:szCs w:val="24"/>
        </w:rPr>
        <w:t>appear in EU documents and related literature,</w:t>
      </w:r>
      <w:r w:rsidR="00993042" w:rsidRPr="00B044E4">
        <w:rPr>
          <w:rFonts w:ascii="Cambria" w:hAnsi="Cambria" w:cs="Times New Roman"/>
          <w:color w:val="000000" w:themeColor="text1"/>
          <w:szCs w:val="24"/>
        </w:rPr>
        <w:t xml:space="preserve"> </w:t>
      </w:r>
      <w:r w:rsidR="001E7ABD">
        <w:rPr>
          <w:rFonts w:ascii="Cambria" w:hAnsi="Cambria" w:cs="Times New Roman"/>
          <w:color w:val="000000" w:themeColor="text1"/>
          <w:szCs w:val="24"/>
        </w:rPr>
        <w:t>such as ex-ante conditionalities</w:t>
      </w:r>
      <w:r w:rsidR="00993042" w:rsidRPr="00B044E4">
        <w:rPr>
          <w:rFonts w:ascii="Cambria" w:hAnsi="Cambria" w:cs="Times New Roman"/>
          <w:color w:val="000000" w:themeColor="text1"/>
          <w:szCs w:val="24"/>
        </w:rPr>
        <w:t xml:space="preserve">, stakeholder engagement, specialisation by diversification, Entrepreneurial Discovery, policy co-design, monitoring and assessment. We discuss also </w:t>
      </w:r>
      <w:r w:rsidR="00DE3309" w:rsidRPr="00B044E4">
        <w:rPr>
          <w:rFonts w:ascii="Cambria" w:hAnsi="Cambria" w:cs="Times New Roman"/>
          <w:color w:val="000000" w:themeColor="text1"/>
          <w:szCs w:val="24"/>
        </w:rPr>
        <w:t xml:space="preserve">weaknesses of the current </w:t>
      </w:r>
      <w:r w:rsidR="00993042" w:rsidRPr="00B044E4">
        <w:rPr>
          <w:rFonts w:ascii="Cambria" w:hAnsi="Cambria" w:cs="Times New Roman"/>
          <w:color w:val="000000" w:themeColor="text1"/>
          <w:szCs w:val="24"/>
        </w:rPr>
        <w:t xml:space="preserve">period and </w:t>
      </w:r>
      <w:r w:rsidR="00DE3309" w:rsidRPr="00B044E4">
        <w:rPr>
          <w:rFonts w:ascii="Cambria" w:hAnsi="Cambria" w:cs="Times New Roman"/>
          <w:color w:val="000000" w:themeColor="text1"/>
          <w:szCs w:val="24"/>
        </w:rPr>
        <w:t>what can be done</w:t>
      </w:r>
      <w:r w:rsidR="00DE3309" w:rsidRPr="00B044E4">
        <w:rPr>
          <w:rFonts w:ascii="Cambria" w:hAnsi="Cambria"/>
          <w:color w:val="000000" w:themeColor="text1"/>
          <w:szCs w:val="24"/>
        </w:rPr>
        <w:t xml:space="preserve"> </w:t>
      </w:r>
      <w:r w:rsidR="00552E0A" w:rsidRPr="00B044E4">
        <w:rPr>
          <w:rFonts w:ascii="Cambria" w:hAnsi="Cambria"/>
          <w:color w:val="000000" w:themeColor="text1"/>
          <w:szCs w:val="24"/>
        </w:rPr>
        <w:t>better in the near future</w:t>
      </w:r>
      <w:r w:rsidR="001E7ABD">
        <w:rPr>
          <w:rFonts w:ascii="Cambria" w:hAnsi="Cambria"/>
          <w:color w:val="000000" w:themeColor="text1"/>
          <w:szCs w:val="24"/>
        </w:rPr>
        <w:t>; th</w:t>
      </w:r>
      <w:r w:rsidR="00552E0A" w:rsidRPr="00B044E4">
        <w:rPr>
          <w:rFonts w:ascii="Cambria" w:hAnsi="Cambria"/>
          <w:color w:val="000000" w:themeColor="text1"/>
          <w:szCs w:val="24"/>
        </w:rPr>
        <w:t>us</w:t>
      </w:r>
      <w:r w:rsidR="00993042" w:rsidRPr="00B044E4">
        <w:rPr>
          <w:rFonts w:ascii="Cambria" w:hAnsi="Cambria"/>
          <w:color w:val="000000" w:themeColor="text1"/>
          <w:szCs w:val="24"/>
        </w:rPr>
        <w:t>,</w:t>
      </w:r>
      <w:r w:rsidR="00552E0A" w:rsidRPr="00B044E4">
        <w:rPr>
          <w:rFonts w:ascii="Cambria" w:hAnsi="Cambria"/>
          <w:color w:val="000000" w:themeColor="text1"/>
          <w:szCs w:val="24"/>
        </w:rPr>
        <w:t xml:space="preserve"> the RIS3 in retrospect and prospect for</w:t>
      </w:r>
      <w:r w:rsidR="00DE3309" w:rsidRPr="00B044E4">
        <w:rPr>
          <w:rFonts w:ascii="Cambria" w:hAnsi="Cambria"/>
          <w:color w:val="000000" w:themeColor="text1"/>
          <w:szCs w:val="24"/>
        </w:rPr>
        <w:t xml:space="preserve"> 2021-2027. Then</w:t>
      </w:r>
      <w:r w:rsidR="00993042" w:rsidRPr="00B044E4">
        <w:rPr>
          <w:rFonts w:ascii="Cambria" w:hAnsi="Cambria"/>
          <w:color w:val="000000" w:themeColor="text1"/>
          <w:szCs w:val="24"/>
        </w:rPr>
        <w:t>,</w:t>
      </w:r>
      <w:r w:rsidR="00DE3309" w:rsidRPr="00B044E4">
        <w:rPr>
          <w:rFonts w:ascii="Cambria" w:hAnsi="Cambria"/>
          <w:color w:val="000000" w:themeColor="text1"/>
          <w:szCs w:val="24"/>
        </w:rPr>
        <w:t xml:space="preserve"> we look into three dimensions</w:t>
      </w:r>
      <w:r w:rsidR="00993042" w:rsidRPr="00B044E4">
        <w:rPr>
          <w:rFonts w:ascii="Cambria" w:hAnsi="Cambria"/>
          <w:color w:val="000000" w:themeColor="text1"/>
          <w:szCs w:val="24"/>
        </w:rPr>
        <w:t xml:space="preserve"> which are critical </w:t>
      </w:r>
      <w:r w:rsidR="00DE3309" w:rsidRPr="00B044E4">
        <w:rPr>
          <w:rFonts w:ascii="Cambria" w:hAnsi="Cambria"/>
          <w:color w:val="000000" w:themeColor="text1"/>
          <w:szCs w:val="24"/>
        </w:rPr>
        <w:t xml:space="preserve">for </w:t>
      </w:r>
      <w:r w:rsidR="0077222D" w:rsidRPr="00B044E4">
        <w:rPr>
          <w:rFonts w:ascii="Cambria" w:hAnsi="Cambria"/>
          <w:color w:val="000000" w:themeColor="text1"/>
          <w:szCs w:val="24"/>
        </w:rPr>
        <w:t xml:space="preserve">the next stage of </w:t>
      </w:r>
      <w:r w:rsidR="00DE3309" w:rsidRPr="00B044E4">
        <w:rPr>
          <w:rFonts w:ascii="Cambria" w:hAnsi="Cambria"/>
          <w:color w:val="000000" w:themeColor="text1"/>
          <w:szCs w:val="24"/>
        </w:rPr>
        <w:t>RIS3</w:t>
      </w:r>
      <w:r w:rsidR="0077222D" w:rsidRPr="00B044E4">
        <w:rPr>
          <w:rFonts w:ascii="Cambria" w:hAnsi="Cambria"/>
          <w:color w:val="000000" w:themeColor="text1"/>
          <w:szCs w:val="24"/>
        </w:rPr>
        <w:t>: how strategies</w:t>
      </w:r>
      <w:r w:rsidR="00993042" w:rsidRPr="00B044E4">
        <w:rPr>
          <w:rFonts w:ascii="Cambria" w:hAnsi="Cambria"/>
          <w:color w:val="000000" w:themeColor="text1"/>
          <w:szCs w:val="24"/>
        </w:rPr>
        <w:t xml:space="preserve"> can </w:t>
      </w:r>
      <w:r w:rsidR="001E7ABD">
        <w:rPr>
          <w:rFonts w:ascii="Cambria" w:hAnsi="Cambria"/>
          <w:color w:val="000000" w:themeColor="text1"/>
          <w:szCs w:val="24"/>
        </w:rPr>
        <w:t xml:space="preserve">be improved by </w:t>
      </w:r>
      <w:r w:rsidR="00993042" w:rsidRPr="00B044E4">
        <w:rPr>
          <w:rFonts w:ascii="Cambria" w:hAnsi="Cambria"/>
          <w:color w:val="000000" w:themeColor="text1"/>
          <w:szCs w:val="24"/>
        </w:rPr>
        <w:t xml:space="preserve">datasets and </w:t>
      </w:r>
      <w:r w:rsidR="00993042" w:rsidRPr="00B044E4">
        <w:rPr>
          <w:rFonts w:ascii="Cambria" w:hAnsi="Cambria" w:cs="Times New Roman"/>
          <w:color w:val="000000" w:themeColor="text1"/>
          <w:szCs w:val="24"/>
        </w:rPr>
        <w:t xml:space="preserve">software enabling the implementation of complex methods, </w:t>
      </w:r>
      <w:r w:rsidR="001E7ABD">
        <w:rPr>
          <w:rFonts w:ascii="Cambria" w:hAnsi="Cambria" w:cs="Times New Roman"/>
          <w:color w:val="000000" w:themeColor="text1"/>
          <w:szCs w:val="24"/>
        </w:rPr>
        <w:t xml:space="preserve">by solutions facilitating </w:t>
      </w:r>
      <w:r w:rsidR="00993042" w:rsidRPr="00B044E4">
        <w:rPr>
          <w:rFonts w:ascii="Cambria" w:hAnsi="Cambria" w:cs="Times New Roman"/>
          <w:color w:val="000000" w:themeColor="text1"/>
          <w:szCs w:val="24"/>
        </w:rPr>
        <w:t xml:space="preserve">collective intelligence and co-design, and from triple to quadruple helix collaboration. At the end, in annex, we present the 29 </w:t>
      </w:r>
      <w:r w:rsidR="001E7ABD">
        <w:rPr>
          <w:rFonts w:ascii="Cambria" w:hAnsi="Cambria" w:cs="Times New Roman"/>
          <w:color w:val="000000" w:themeColor="text1"/>
          <w:szCs w:val="24"/>
        </w:rPr>
        <w:t xml:space="preserve">software </w:t>
      </w:r>
      <w:r w:rsidR="00993042" w:rsidRPr="00B044E4">
        <w:rPr>
          <w:rFonts w:ascii="Cambria" w:hAnsi="Cambria" w:cs="Times New Roman"/>
          <w:color w:val="000000" w:themeColor="text1"/>
          <w:szCs w:val="24"/>
        </w:rPr>
        <w:t xml:space="preserve">applications and 4 roadmaps </w:t>
      </w:r>
      <w:r w:rsidR="0077222D" w:rsidRPr="00B044E4">
        <w:rPr>
          <w:rFonts w:ascii="Cambria" w:hAnsi="Cambria" w:cs="Times New Roman"/>
          <w:color w:val="000000" w:themeColor="text1"/>
          <w:szCs w:val="24"/>
        </w:rPr>
        <w:t>of Online S3</w:t>
      </w:r>
      <w:r w:rsidR="001E7ABD">
        <w:rPr>
          <w:rFonts w:ascii="Cambria" w:hAnsi="Cambria" w:cs="Times New Roman"/>
          <w:color w:val="000000" w:themeColor="text1"/>
          <w:szCs w:val="24"/>
        </w:rPr>
        <w:t xml:space="preserve"> that </w:t>
      </w:r>
      <w:r w:rsidR="00993042" w:rsidRPr="00B044E4">
        <w:rPr>
          <w:rFonts w:ascii="Cambria" w:hAnsi="Cambria" w:cs="Times New Roman"/>
          <w:color w:val="000000" w:themeColor="text1"/>
          <w:szCs w:val="24"/>
        </w:rPr>
        <w:t>enable the use of datasets and sophisticated methodologies.</w:t>
      </w:r>
    </w:p>
    <w:p w:rsidR="00CB1382" w:rsidRDefault="001B0883" w:rsidP="00CA379D">
      <w:pPr>
        <w:spacing w:after="0" w:line="240" w:lineRule="auto"/>
        <w:rPr>
          <w:rFonts w:ascii="Cambria" w:hAnsi="Cambria" w:cs="Times New Roman"/>
          <w:color w:val="0070C0"/>
          <w:sz w:val="32"/>
          <w:szCs w:val="24"/>
        </w:rPr>
      </w:pPr>
      <w:r w:rsidRPr="00B044E4">
        <w:rPr>
          <w:rFonts w:ascii="Cambria" w:hAnsi="Cambria" w:cs="Times New Roman"/>
          <w:color w:val="0070C0"/>
          <w:sz w:val="32"/>
          <w:szCs w:val="24"/>
        </w:rPr>
        <w:lastRenderedPageBreak/>
        <w:t xml:space="preserve">1. </w:t>
      </w:r>
      <w:r w:rsidR="00A71FFE" w:rsidRPr="00B044E4">
        <w:rPr>
          <w:rFonts w:ascii="Cambria" w:hAnsi="Cambria" w:cs="Times New Roman"/>
          <w:color w:val="0070C0"/>
          <w:sz w:val="32"/>
          <w:szCs w:val="24"/>
        </w:rPr>
        <w:t>Introduction: RIS3 and the O</w:t>
      </w:r>
      <w:r w:rsidR="00CB1382" w:rsidRPr="00B044E4">
        <w:rPr>
          <w:rFonts w:ascii="Cambria" w:hAnsi="Cambria" w:cs="Times New Roman"/>
          <w:color w:val="0070C0"/>
          <w:sz w:val="32"/>
          <w:szCs w:val="24"/>
        </w:rPr>
        <w:t>nline S3 project</w:t>
      </w:r>
    </w:p>
    <w:p w:rsidR="0013221A" w:rsidRPr="00B044E4" w:rsidRDefault="0013221A" w:rsidP="00CA379D">
      <w:pPr>
        <w:spacing w:after="0" w:line="240" w:lineRule="auto"/>
        <w:rPr>
          <w:rFonts w:ascii="Cambria" w:hAnsi="Cambria" w:cs="Times New Roman"/>
          <w:color w:val="0070C0"/>
          <w:sz w:val="24"/>
          <w:szCs w:val="24"/>
        </w:rPr>
      </w:pPr>
    </w:p>
    <w:p w:rsidR="00F64E25" w:rsidRPr="00B044E4" w:rsidRDefault="00F64E25" w:rsidP="00CA379D">
      <w:pPr>
        <w:spacing w:after="0" w:line="240" w:lineRule="auto"/>
        <w:jc w:val="both"/>
        <w:rPr>
          <w:rFonts w:ascii="Cambria" w:hAnsi="Cambria" w:cs="Times New Roman"/>
        </w:rPr>
      </w:pPr>
      <w:r w:rsidRPr="00B044E4">
        <w:rPr>
          <w:rFonts w:ascii="Cambria" w:hAnsi="Cambria" w:cs="Times New Roman"/>
        </w:rPr>
        <w:t>The second decade of the 21</w:t>
      </w:r>
      <w:r w:rsidRPr="00B044E4">
        <w:rPr>
          <w:rFonts w:ascii="Cambria" w:hAnsi="Cambria" w:cs="Times New Roman"/>
          <w:vertAlign w:val="superscript"/>
        </w:rPr>
        <w:t>st</w:t>
      </w:r>
      <w:r w:rsidRPr="00B044E4">
        <w:rPr>
          <w:rFonts w:ascii="Cambria" w:hAnsi="Cambria" w:cs="Times New Roman"/>
        </w:rPr>
        <w:t xml:space="preserve"> century </w:t>
      </w:r>
      <w:r w:rsidR="001113FB" w:rsidRPr="00B044E4">
        <w:rPr>
          <w:rFonts w:ascii="Cambria" w:hAnsi="Cambria" w:cs="Times New Roman"/>
        </w:rPr>
        <w:t>brought</w:t>
      </w:r>
      <w:r w:rsidR="009E2EA8">
        <w:rPr>
          <w:rFonts w:ascii="Cambria" w:hAnsi="Cambria" w:cs="Times New Roman"/>
        </w:rPr>
        <w:t xml:space="preserve">-in </w:t>
      </w:r>
      <w:r w:rsidRPr="00B044E4">
        <w:rPr>
          <w:rFonts w:ascii="Cambria" w:hAnsi="Cambria" w:cs="Times New Roman"/>
        </w:rPr>
        <w:t xml:space="preserve">a </w:t>
      </w:r>
      <w:r w:rsidR="001113FB" w:rsidRPr="00B044E4">
        <w:rPr>
          <w:rFonts w:ascii="Cambria" w:hAnsi="Cambria" w:cs="Times New Roman"/>
        </w:rPr>
        <w:t xml:space="preserve">new </w:t>
      </w:r>
      <w:r w:rsidR="00A71FFE" w:rsidRPr="00B044E4">
        <w:rPr>
          <w:rFonts w:ascii="Cambria" w:hAnsi="Cambria" w:cs="Times New Roman"/>
        </w:rPr>
        <w:t>thinking</w:t>
      </w:r>
      <w:r w:rsidR="001113FB" w:rsidRPr="00B044E4">
        <w:rPr>
          <w:rFonts w:ascii="Cambria" w:hAnsi="Cambria" w:cs="Times New Roman"/>
        </w:rPr>
        <w:t xml:space="preserve"> </w:t>
      </w:r>
      <w:r w:rsidRPr="00B044E4">
        <w:rPr>
          <w:rFonts w:ascii="Cambria" w:hAnsi="Cambria" w:cs="Times New Roman"/>
        </w:rPr>
        <w:t xml:space="preserve">in the European innovation policy. </w:t>
      </w:r>
      <w:r w:rsidR="001113FB" w:rsidRPr="00B044E4">
        <w:rPr>
          <w:rFonts w:ascii="Cambria" w:hAnsi="Cambria" w:cs="Times New Roman"/>
        </w:rPr>
        <w:t>P</w:t>
      </w:r>
      <w:r w:rsidRPr="00B044E4">
        <w:rPr>
          <w:rFonts w:ascii="Cambria" w:hAnsi="Cambria" w:cs="Times New Roman"/>
        </w:rPr>
        <w:t xml:space="preserve">art of the Europe 2020 strategy for smart, sustainable and inclusive growth, </w:t>
      </w:r>
      <w:r w:rsidR="009A170D" w:rsidRPr="00B044E4">
        <w:rPr>
          <w:rFonts w:ascii="Cambria" w:hAnsi="Cambria" w:cs="Times New Roman"/>
        </w:rPr>
        <w:t xml:space="preserve">the </w:t>
      </w:r>
      <w:r w:rsidRPr="00B044E4">
        <w:rPr>
          <w:rFonts w:ascii="Cambria" w:hAnsi="Cambria" w:cs="Times New Roman"/>
        </w:rPr>
        <w:t xml:space="preserve">research and innovation strategies for smart specialisation (RIS3) were institutionalised as precondition for </w:t>
      </w:r>
      <w:r w:rsidR="001113FB" w:rsidRPr="00B044E4">
        <w:rPr>
          <w:rFonts w:ascii="Cambria" w:hAnsi="Cambria" w:cs="Times New Roman"/>
        </w:rPr>
        <w:t xml:space="preserve">getting financial support from </w:t>
      </w:r>
      <w:r w:rsidRPr="00B044E4">
        <w:rPr>
          <w:rFonts w:ascii="Cambria" w:hAnsi="Cambria" w:cs="Times New Roman"/>
        </w:rPr>
        <w:t xml:space="preserve">European Structural and Investment Funds (ESIF). The preparation </w:t>
      </w:r>
      <w:r w:rsidR="009A170D" w:rsidRPr="00B044E4">
        <w:rPr>
          <w:rFonts w:ascii="Cambria" w:hAnsi="Cambria" w:cs="Times New Roman"/>
        </w:rPr>
        <w:t xml:space="preserve">for </w:t>
      </w:r>
      <w:r w:rsidR="00A71FFE" w:rsidRPr="00B044E4">
        <w:rPr>
          <w:rFonts w:ascii="Cambria" w:hAnsi="Cambria" w:cs="Times New Roman"/>
        </w:rPr>
        <w:t xml:space="preserve">these strategies </w:t>
      </w:r>
      <w:r w:rsidRPr="00B044E4">
        <w:rPr>
          <w:rFonts w:ascii="Cambria" w:hAnsi="Cambria" w:cs="Times New Roman"/>
        </w:rPr>
        <w:t>stated in 2</w:t>
      </w:r>
      <w:r w:rsidR="009E2EA8">
        <w:rPr>
          <w:rFonts w:ascii="Cambria" w:hAnsi="Cambria" w:cs="Times New Roman"/>
        </w:rPr>
        <w:t>011 and in May 2012 the Guide of</w:t>
      </w:r>
      <w:r w:rsidRPr="00B044E4">
        <w:rPr>
          <w:rFonts w:ascii="Cambria" w:hAnsi="Cambria" w:cs="Times New Roman"/>
        </w:rPr>
        <w:t xml:space="preserve"> RIS3 was published by </w:t>
      </w:r>
      <w:r w:rsidRPr="00B044E4">
        <w:rPr>
          <w:rFonts w:ascii="Cambria" w:hAnsi="Cambria"/>
        </w:rPr>
        <w:t>Foray, Goddard, Beldarrain</w:t>
      </w:r>
      <w:r w:rsidR="001113FB" w:rsidRPr="00B044E4">
        <w:rPr>
          <w:rFonts w:ascii="Cambria" w:hAnsi="Cambria"/>
        </w:rPr>
        <w:t xml:space="preserve">, </w:t>
      </w:r>
      <w:r w:rsidRPr="00B044E4">
        <w:rPr>
          <w:rFonts w:ascii="Cambria" w:hAnsi="Cambria"/>
        </w:rPr>
        <w:t>Landabaso</w:t>
      </w:r>
      <w:r w:rsidR="001113FB" w:rsidRPr="00B044E4">
        <w:rPr>
          <w:rFonts w:ascii="Cambria" w:hAnsi="Cambria"/>
        </w:rPr>
        <w:t xml:space="preserve">, </w:t>
      </w:r>
      <w:r w:rsidRPr="00B044E4">
        <w:rPr>
          <w:rFonts w:ascii="Cambria" w:hAnsi="Cambria"/>
        </w:rPr>
        <w:t>McCann</w:t>
      </w:r>
      <w:r w:rsidR="001113FB" w:rsidRPr="00B044E4">
        <w:rPr>
          <w:rFonts w:ascii="Cambria" w:hAnsi="Cambria"/>
        </w:rPr>
        <w:t xml:space="preserve">, </w:t>
      </w:r>
      <w:r w:rsidRPr="00B044E4">
        <w:rPr>
          <w:rFonts w:ascii="Cambria" w:hAnsi="Cambria"/>
        </w:rPr>
        <w:t>Morgan</w:t>
      </w:r>
      <w:r w:rsidR="001113FB" w:rsidRPr="00B044E4">
        <w:rPr>
          <w:rFonts w:ascii="Cambria" w:hAnsi="Cambria"/>
        </w:rPr>
        <w:t xml:space="preserve">, </w:t>
      </w:r>
      <w:r w:rsidRPr="00B044E4">
        <w:rPr>
          <w:rFonts w:ascii="Cambria" w:hAnsi="Cambria"/>
        </w:rPr>
        <w:t>Nauwelaers</w:t>
      </w:r>
      <w:r w:rsidR="001113FB" w:rsidRPr="00B044E4">
        <w:rPr>
          <w:rFonts w:ascii="Cambria" w:hAnsi="Cambria"/>
        </w:rPr>
        <w:t xml:space="preserve">, and </w:t>
      </w:r>
      <w:r w:rsidRPr="00B044E4">
        <w:rPr>
          <w:rFonts w:ascii="Cambria" w:hAnsi="Cambria"/>
        </w:rPr>
        <w:t>Ortega-Argilés</w:t>
      </w:r>
      <w:r w:rsidR="001113FB" w:rsidRPr="00B044E4">
        <w:rPr>
          <w:rFonts w:ascii="Cambria" w:hAnsi="Cambria" w:cs="Times New Roman"/>
        </w:rPr>
        <w:t>, as “</w:t>
      </w:r>
      <w:r w:rsidR="001113FB" w:rsidRPr="00B044E4">
        <w:rPr>
          <w:rFonts w:ascii="Cambria" w:hAnsi="Cambria" w:cs="Times New Roman"/>
          <w:i/>
        </w:rPr>
        <w:t>methodological guidance for policy-makers and implementing bodies on how to prepare for and how to design, draft and implement a</w:t>
      </w:r>
      <w:r w:rsidR="00A71FFE" w:rsidRPr="00B044E4">
        <w:rPr>
          <w:rFonts w:ascii="Cambria" w:hAnsi="Cambria" w:cs="Times New Roman"/>
          <w:i/>
        </w:rPr>
        <w:t xml:space="preserve"> </w:t>
      </w:r>
      <w:r w:rsidR="001113FB" w:rsidRPr="00B044E4">
        <w:rPr>
          <w:rFonts w:ascii="Cambria" w:hAnsi="Cambria" w:cs="Times New Roman"/>
          <w:i/>
        </w:rPr>
        <w:t>national/regional research and innovation strategy for smart specialisation (RIS3)</w:t>
      </w:r>
      <w:r w:rsidR="00406619" w:rsidRPr="00B044E4">
        <w:rPr>
          <w:rFonts w:ascii="Cambria" w:hAnsi="Cambria" w:cs="Times New Roman"/>
        </w:rPr>
        <w:t>” (</w:t>
      </w:r>
      <w:r w:rsidR="00406619" w:rsidRPr="00B044E4">
        <w:rPr>
          <w:rFonts w:ascii="Cambria" w:hAnsi="Cambria"/>
        </w:rPr>
        <w:t>Foray et al., 2012).</w:t>
      </w:r>
    </w:p>
    <w:p w:rsidR="00F64E25" w:rsidRPr="00B044E4" w:rsidRDefault="00F64E25" w:rsidP="00CA379D">
      <w:pPr>
        <w:spacing w:after="0" w:line="240" w:lineRule="auto"/>
        <w:rPr>
          <w:rFonts w:ascii="Cambria" w:hAnsi="Cambria" w:cs="Times New Roman"/>
        </w:rPr>
      </w:pPr>
    </w:p>
    <w:p w:rsidR="001113FB" w:rsidRPr="00B044E4" w:rsidRDefault="001113FB" w:rsidP="00CA379D">
      <w:pPr>
        <w:spacing w:after="0" w:line="240" w:lineRule="auto"/>
        <w:jc w:val="both"/>
        <w:rPr>
          <w:rFonts w:ascii="Cambria" w:hAnsi="Cambria" w:cs="Times New Roman"/>
        </w:rPr>
      </w:pPr>
      <w:r w:rsidRPr="00B044E4">
        <w:rPr>
          <w:rFonts w:ascii="Cambria" w:hAnsi="Cambria" w:cs="Times New Roman"/>
        </w:rPr>
        <w:t xml:space="preserve">The new philosophy of innovation policy, which </w:t>
      </w:r>
      <w:r w:rsidR="00A71FFE" w:rsidRPr="00B044E4">
        <w:rPr>
          <w:rFonts w:ascii="Cambria" w:hAnsi="Cambria" w:cs="Times New Roman"/>
        </w:rPr>
        <w:t xml:space="preserve">the </w:t>
      </w:r>
      <w:r w:rsidRPr="00B044E4">
        <w:rPr>
          <w:rFonts w:ascii="Cambria" w:hAnsi="Cambria" w:cs="Times New Roman"/>
        </w:rPr>
        <w:t xml:space="preserve">smart specialisation </w:t>
      </w:r>
      <w:r w:rsidR="00A71FFE" w:rsidRPr="00B044E4">
        <w:rPr>
          <w:rFonts w:ascii="Cambria" w:hAnsi="Cambria" w:cs="Times New Roman"/>
        </w:rPr>
        <w:t xml:space="preserve">agenda </w:t>
      </w:r>
      <w:r w:rsidR="00E96D90" w:rsidRPr="00B044E4">
        <w:rPr>
          <w:rFonts w:ascii="Cambria" w:hAnsi="Cambria" w:cs="Times New Roman"/>
        </w:rPr>
        <w:t xml:space="preserve">and RIS3 </w:t>
      </w:r>
      <w:r w:rsidRPr="00B044E4">
        <w:rPr>
          <w:rFonts w:ascii="Cambria" w:hAnsi="Cambria" w:cs="Times New Roman"/>
        </w:rPr>
        <w:t xml:space="preserve">introduced, was founded on </w:t>
      </w:r>
      <w:r w:rsidRPr="00B044E4">
        <w:rPr>
          <w:rFonts w:ascii="Cambria" w:hAnsi="Cambria"/>
        </w:rPr>
        <w:t xml:space="preserve">previous experiences of the European Commission on regional innovation and </w:t>
      </w:r>
      <w:r w:rsidR="00BF5145">
        <w:rPr>
          <w:rFonts w:ascii="Cambria" w:hAnsi="Cambria"/>
        </w:rPr>
        <w:t xml:space="preserve">on </w:t>
      </w:r>
      <w:r w:rsidRPr="00B044E4">
        <w:rPr>
          <w:rFonts w:ascii="Cambria" w:hAnsi="Cambria"/>
        </w:rPr>
        <w:t xml:space="preserve">theories that </w:t>
      </w:r>
      <w:r w:rsidR="009A170D" w:rsidRPr="00B044E4">
        <w:rPr>
          <w:rFonts w:ascii="Cambria" w:hAnsi="Cambria"/>
        </w:rPr>
        <w:t xml:space="preserve">reveal regional </w:t>
      </w:r>
      <w:r w:rsidRPr="00B044E4">
        <w:rPr>
          <w:rFonts w:ascii="Cambria" w:hAnsi="Cambria"/>
        </w:rPr>
        <w:t xml:space="preserve">growth </w:t>
      </w:r>
      <w:r w:rsidR="009A170D" w:rsidRPr="00B044E4">
        <w:rPr>
          <w:rFonts w:ascii="Cambria" w:hAnsi="Cambria"/>
        </w:rPr>
        <w:t xml:space="preserve">patterns </w:t>
      </w:r>
      <w:r w:rsidRPr="00B044E4">
        <w:rPr>
          <w:rFonts w:ascii="Cambria" w:hAnsi="Cambria"/>
        </w:rPr>
        <w:t>based on knowledge and innovation, such as new growth theory, evolutionary economic geography, and learning regions</w:t>
      </w:r>
      <w:r w:rsidR="00E96D90" w:rsidRPr="00B044E4">
        <w:rPr>
          <w:rFonts w:ascii="Cambria" w:hAnsi="Cambria"/>
        </w:rPr>
        <w:t xml:space="preserve">. </w:t>
      </w:r>
      <w:r w:rsidR="00856121" w:rsidRPr="00B044E4">
        <w:rPr>
          <w:rFonts w:ascii="Cambria" w:hAnsi="Cambria"/>
        </w:rPr>
        <w:t xml:space="preserve">This was a very promising </w:t>
      </w:r>
      <w:r w:rsidR="00A71FFE" w:rsidRPr="00B044E4">
        <w:rPr>
          <w:rFonts w:ascii="Cambria" w:hAnsi="Cambria"/>
        </w:rPr>
        <w:t>amalgam</w:t>
      </w:r>
      <w:r w:rsidR="00856121" w:rsidRPr="00B044E4">
        <w:rPr>
          <w:rFonts w:ascii="Cambria" w:hAnsi="Cambria"/>
        </w:rPr>
        <w:t xml:space="preserve"> </w:t>
      </w:r>
      <w:r w:rsidR="00A71FFE" w:rsidRPr="00B044E4">
        <w:rPr>
          <w:rFonts w:ascii="Cambria" w:hAnsi="Cambria"/>
        </w:rPr>
        <w:t xml:space="preserve">of progressive policy-making and robust theoretical approach. But, it proved inefficient to change the mindset of regional and national authorities in designing smart specialisation strategies along </w:t>
      </w:r>
      <w:r w:rsidR="00445945" w:rsidRPr="00B044E4">
        <w:rPr>
          <w:rFonts w:ascii="Cambria" w:hAnsi="Cambria"/>
        </w:rPr>
        <w:t xml:space="preserve">with </w:t>
      </w:r>
      <w:r w:rsidR="00A71FFE" w:rsidRPr="00B044E4">
        <w:rPr>
          <w:rFonts w:ascii="Cambria" w:hAnsi="Cambria"/>
        </w:rPr>
        <w:t>the pr</w:t>
      </w:r>
      <w:r w:rsidR="00BF5145">
        <w:rPr>
          <w:rFonts w:ascii="Cambria" w:hAnsi="Cambria"/>
        </w:rPr>
        <w:t>inciples described in the RIS3 G</w:t>
      </w:r>
      <w:r w:rsidR="00A71FFE" w:rsidRPr="00B044E4">
        <w:rPr>
          <w:rFonts w:ascii="Cambria" w:hAnsi="Cambria"/>
        </w:rPr>
        <w:t>uide</w:t>
      </w:r>
      <w:r w:rsidR="00BF5145">
        <w:rPr>
          <w:rFonts w:ascii="Cambria" w:hAnsi="Cambria"/>
        </w:rPr>
        <w:t xml:space="preserve"> </w:t>
      </w:r>
      <w:r w:rsidR="00A71FFE" w:rsidRPr="00B044E4">
        <w:rPr>
          <w:rFonts w:ascii="Cambria" w:hAnsi="Cambria"/>
        </w:rPr>
        <w:t xml:space="preserve">and </w:t>
      </w:r>
      <w:r w:rsidR="00BF5145">
        <w:rPr>
          <w:rFonts w:ascii="Cambria" w:hAnsi="Cambria"/>
        </w:rPr>
        <w:t xml:space="preserve">the </w:t>
      </w:r>
      <w:r w:rsidR="00445945" w:rsidRPr="00B044E4">
        <w:rPr>
          <w:rFonts w:ascii="Cambria" w:hAnsi="Cambria"/>
        </w:rPr>
        <w:t>official documents</w:t>
      </w:r>
      <w:r w:rsidR="00BF5145">
        <w:rPr>
          <w:rFonts w:ascii="Cambria" w:hAnsi="Cambria"/>
        </w:rPr>
        <w:t xml:space="preserve"> of the European Commission</w:t>
      </w:r>
      <w:r w:rsidR="00445945" w:rsidRPr="00B044E4">
        <w:rPr>
          <w:rFonts w:ascii="Cambria" w:hAnsi="Cambria"/>
        </w:rPr>
        <w:t xml:space="preserve">. </w:t>
      </w:r>
      <w:r w:rsidR="00BF5145">
        <w:rPr>
          <w:rFonts w:ascii="Cambria" w:hAnsi="Cambria"/>
        </w:rPr>
        <w:t xml:space="preserve">This was not a weakness of lagging regions; even </w:t>
      </w:r>
      <w:r w:rsidR="00A71FFE" w:rsidRPr="00B044E4">
        <w:rPr>
          <w:rFonts w:ascii="Cambria" w:hAnsi="Cambria"/>
        </w:rPr>
        <w:t xml:space="preserve">technologically advanced and wealthy regions </w:t>
      </w:r>
      <w:r w:rsidR="00FE346C" w:rsidRPr="00B044E4">
        <w:rPr>
          <w:rFonts w:ascii="Cambria" w:hAnsi="Cambria"/>
        </w:rPr>
        <w:t>f</w:t>
      </w:r>
      <w:r w:rsidR="00445945" w:rsidRPr="00B044E4">
        <w:rPr>
          <w:rFonts w:ascii="Cambria" w:hAnsi="Cambria"/>
        </w:rPr>
        <w:t xml:space="preserve">elt </w:t>
      </w:r>
      <w:r w:rsidR="00A71FFE" w:rsidRPr="00B044E4">
        <w:rPr>
          <w:rFonts w:ascii="Cambria" w:hAnsi="Cambria"/>
        </w:rPr>
        <w:t xml:space="preserve">behind in quality and sophistication of RIS3 design. </w:t>
      </w:r>
      <w:r w:rsidR="00C41DEC" w:rsidRPr="00B044E4">
        <w:rPr>
          <w:rFonts w:ascii="Cambria" w:hAnsi="Cambria"/>
        </w:rPr>
        <w:t xml:space="preserve">Many </w:t>
      </w:r>
      <w:r w:rsidR="00AF3B24" w:rsidRPr="00B044E4">
        <w:rPr>
          <w:rFonts w:ascii="Cambria" w:hAnsi="Cambria"/>
        </w:rPr>
        <w:t>factors</w:t>
      </w:r>
      <w:r w:rsidR="00C41DEC" w:rsidRPr="00B044E4">
        <w:rPr>
          <w:rFonts w:ascii="Cambria" w:hAnsi="Cambria"/>
        </w:rPr>
        <w:t xml:space="preserve"> contributed to inertia and limited effort invested by public authorities </w:t>
      </w:r>
      <w:r w:rsidR="00BF5145">
        <w:rPr>
          <w:rFonts w:ascii="Cambria" w:hAnsi="Cambria"/>
        </w:rPr>
        <w:t xml:space="preserve">that </w:t>
      </w:r>
      <w:r w:rsidR="00C41DEC" w:rsidRPr="00B044E4">
        <w:rPr>
          <w:rFonts w:ascii="Cambria" w:hAnsi="Cambria"/>
        </w:rPr>
        <w:t>explain the poor design of RIS3</w:t>
      </w:r>
      <w:r w:rsidR="001757B0" w:rsidRPr="00B044E4">
        <w:rPr>
          <w:rFonts w:ascii="Cambria" w:hAnsi="Cambria"/>
        </w:rPr>
        <w:t>.</w:t>
      </w:r>
      <w:r w:rsidR="00C41DEC" w:rsidRPr="00B044E4">
        <w:rPr>
          <w:rFonts w:ascii="Cambria" w:hAnsi="Cambria"/>
        </w:rPr>
        <w:t xml:space="preserve"> </w:t>
      </w:r>
      <w:r w:rsidR="00AF3B24" w:rsidRPr="00B044E4">
        <w:rPr>
          <w:rFonts w:ascii="Cambria" w:hAnsi="Cambria"/>
        </w:rPr>
        <w:t>We should underline the gap between theory and method</w:t>
      </w:r>
      <w:r w:rsidR="00445945" w:rsidRPr="00B044E4">
        <w:rPr>
          <w:rFonts w:ascii="Cambria" w:hAnsi="Cambria"/>
        </w:rPr>
        <w:t>s</w:t>
      </w:r>
      <w:r w:rsidR="00AF3B24" w:rsidRPr="00B044E4">
        <w:rPr>
          <w:rFonts w:ascii="Cambria" w:hAnsi="Cambria"/>
        </w:rPr>
        <w:t xml:space="preserve"> of implementation, </w:t>
      </w:r>
      <w:r w:rsidR="00C330B4" w:rsidRPr="00B044E4">
        <w:rPr>
          <w:rFonts w:ascii="Cambria" w:hAnsi="Cambria"/>
        </w:rPr>
        <w:t xml:space="preserve">delegation of power from </w:t>
      </w:r>
      <w:r w:rsidR="00AF3B24" w:rsidRPr="00B044E4">
        <w:rPr>
          <w:rFonts w:ascii="Cambria" w:hAnsi="Cambria"/>
        </w:rPr>
        <w:t xml:space="preserve">central control </w:t>
      </w:r>
      <w:r w:rsidR="00C330B4" w:rsidRPr="00B044E4">
        <w:rPr>
          <w:rFonts w:ascii="Cambria" w:hAnsi="Cambria"/>
        </w:rPr>
        <w:t xml:space="preserve">to </w:t>
      </w:r>
      <w:r w:rsidR="00AF3B24" w:rsidRPr="00B044E4">
        <w:rPr>
          <w:rFonts w:ascii="Cambria" w:hAnsi="Cambria"/>
        </w:rPr>
        <w:t xml:space="preserve">bottom-up </w:t>
      </w:r>
      <w:r w:rsidR="00BF5145">
        <w:rPr>
          <w:rFonts w:ascii="Cambria" w:hAnsi="Cambria"/>
        </w:rPr>
        <w:t>participation</w:t>
      </w:r>
      <w:r w:rsidR="00AF3B24" w:rsidRPr="00B044E4">
        <w:rPr>
          <w:rFonts w:ascii="Cambria" w:hAnsi="Cambria"/>
        </w:rPr>
        <w:t xml:space="preserve">, </w:t>
      </w:r>
      <w:r w:rsidR="00445945" w:rsidRPr="00B044E4">
        <w:rPr>
          <w:rFonts w:ascii="Cambria" w:hAnsi="Cambria"/>
        </w:rPr>
        <w:t xml:space="preserve">weaknesses in </w:t>
      </w:r>
      <w:r w:rsidR="00C330B4" w:rsidRPr="00B044E4">
        <w:rPr>
          <w:rFonts w:ascii="Cambria" w:hAnsi="Cambria"/>
        </w:rPr>
        <w:t>mobilisation and engagement</w:t>
      </w:r>
      <w:r w:rsidR="00AF3B24" w:rsidRPr="00B044E4">
        <w:rPr>
          <w:rFonts w:ascii="Cambria" w:hAnsi="Cambria"/>
        </w:rPr>
        <w:t xml:space="preserve"> </w:t>
      </w:r>
      <w:r w:rsidR="00C330B4" w:rsidRPr="00B044E4">
        <w:rPr>
          <w:rFonts w:ascii="Cambria" w:hAnsi="Cambria"/>
        </w:rPr>
        <w:t xml:space="preserve">of stakeholders, lack of monitoring and assessment </w:t>
      </w:r>
      <w:r w:rsidR="00BF5145">
        <w:rPr>
          <w:rFonts w:ascii="Cambria" w:hAnsi="Cambria"/>
        </w:rPr>
        <w:t>mechanisms</w:t>
      </w:r>
      <w:r w:rsidR="00C330B4" w:rsidRPr="00B044E4">
        <w:rPr>
          <w:rFonts w:ascii="Cambria" w:hAnsi="Cambria"/>
        </w:rPr>
        <w:t>. All-in-all, a precarious institutional and methodological setting</w:t>
      </w:r>
      <w:r w:rsidR="00445945" w:rsidRPr="00B044E4">
        <w:rPr>
          <w:rFonts w:ascii="Cambria" w:hAnsi="Cambria"/>
        </w:rPr>
        <w:t xml:space="preserve"> that </w:t>
      </w:r>
      <w:r w:rsidR="00C330B4" w:rsidRPr="00B044E4">
        <w:rPr>
          <w:rFonts w:ascii="Cambria" w:hAnsi="Cambria"/>
        </w:rPr>
        <w:t xml:space="preserve">characterises and should be expected in major institutional reforms. </w:t>
      </w:r>
    </w:p>
    <w:p w:rsidR="001113FB" w:rsidRPr="00B044E4" w:rsidRDefault="001113FB" w:rsidP="00CA379D">
      <w:pPr>
        <w:spacing w:after="0" w:line="240" w:lineRule="auto"/>
        <w:rPr>
          <w:rFonts w:ascii="Cambria" w:hAnsi="Cambria" w:cs="Times New Roman"/>
        </w:rPr>
      </w:pPr>
    </w:p>
    <w:p w:rsidR="001757B0" w:rsidRPr="00B044E4" w:rsidRDefault="001757B0" w:rsidP="00CA379D">
      <w:pPr>
        <w:spacing w:after="0" w:line="240" w:lineRule="auto"/>
        <w:jc w:val="both"/>
        <w:rPr>
          <w:rFonts w:ascii="Cambria" w:hAnsi="Cambria"/>
        </w:rPr>
      </w:pPr>
      <w:r w:rsidRPr="00B044E4">
        <w:rPr>
          <w:rFonts w:ascii="Cambria" w:hAnsi="Cambria" w:cs="Times New Roman"/>
        </w:rPr>
        <w:t xml:space="preserve">The </w:t>
      </w:r>
      <w:r w:rsidR="00C330B4" w:rsidRPr="00B044E4">
        <w:rPr>
          <w:rFonts w:ascii="Cambria" w:hAnsi="Cambria" w:cs="Times New Roman"/>
        </w:rPr>
        <w:t>Online S3, a research project of Horizon 2020 under the ‘Science with and for Society’ programme</w:t>
      </w:r>
      <w:r w:rsidRPr="00B044E4">
        <w:rPr>
          <w:rFonts w:ascii="Cambria" w:hAnsi="Cambria" w:cs="Times New Roman"/>
        </w:rPr>
        <w:t>,</w:t>
      </w:r>
      <w:r w:rsidR="00C330B4" w:rsidRPr="00B044E4">
        <w:rPr>
          <w:rFonts w:ascii="Cambria" w:hAnsi="Cambria" w:cs="Times New Roman"/>
        </w:rPr>
        <w:t xml:space="preserve"> </w:t>
      </w:r>
      <w:r w:rsidRPr="00B044E4">
        <w:rPr>
          <w:rFonts w:ascii="Cambria" w:hAnsi="Cambria" w:cs="Times New Roman"/>
        </w:rPr>
        <w:t xml:space="preserve">was grounded on the </w:t>
      </w:r>
      <w:r w:rsidRPr="00B044E4">
        <w:rPr>
          <w:rFonts w:ascii="Cambria" w:hAnsi="Cambria"/>
        </w:rPr>
        <w:t xml:space="preserve">disharmony between the design of RIS3 and the funds that became available to this policy domain. On the understanding </w:t>
      </w:r>
      <w:r w:rsidR="00445945" w:rsidRPr="00B044E4">
        <w:rPr>
          <w:rFonts w:ascii="Cambria" w:hAnsi="Cambria"/>
        </w:rPr>
        <w:t xml:space="preserve">of barriers </w:t>
      </w:r>
      <w:r w:rsidRPr="00B044E4">
        <w:rPr>
          <w:rFonts w:ascii="Cambria" w:hAnsi="Cambria"/>
        </w:rPr>
        <w:t>that r</w:t>
      </w:r>
      <w:r w:rsidR="00326DA7" w:rsidRPr="00B044E4">
        <w:rPr>
          <w:rFonts w:ascii="Cambria" w:hAnsi="Cambria"/>
        </w:rPr>
        <w:t xml:space="preserve">egional and national authorities </w:t>
      </w:r>
      <w:r w:rsidR="00445945" w:rsidRPr="00B044E4">
        <w:rPr>
          <w:rFonts w:ascii="Cambria" w:hAnsi="Cambria"/>
        </w:rPr>
        <w:t xml:space="preserve">face in the </w:t>
      </w:r>
      <w:r w:rsidR="00326DA7" w:rsidRPr="00B044E4">
        <w:rPr>
          <w:rFonts w:ascii="Cambria" w:hAnsi="Cambria"/>
        </w:rPr>
        <w:t>design and implement</w:t>
      </w:r>
      <w:r w:rsidR="00445945" w:rsidRPr="00B044E4">
        <w:rPr>
          <w:rFonts w:ascii="Cambria" w:hAnsi="Cambria"/>
        </w:rPr>
        <w:t>ation of</w:t>
      </w:r>
      <w:r w:rsidR="00326DA7" w:rsidRPr="00B044E4">
        <w:rPr>
          <w:rFonts w:ascii="Cambria" w:hAnsi="Cambria"/>
        </w:rPr>
        <w:t xml:space="preserve"> </w:t>
      </w:r>
      <w:r w:rsidRPr="00B044E4">
        <w:rPr>
          <w:rFonts w:ascii="Cambria" w:hAnsi="Cambria"/>
        </w:rPr>
        <w:t xml:space="preserve">innovation strategies that </w:t>
      </w:r>
      <w:r w:rsidR="00326DA7" w:rsidRPr="00B044E4">
        <w:rPr>
          <w:rFonts w:ascii="Cambria" w:hAnsi="Cambria"/>
        </w:rPr>
        <w:t xml:space="preserve">tackle complex and interconnected societal challenges. </w:t>
      </w:r>
      <w:r w:rsidRPr="00B044E4">
        <w:rPr>
          <w:rFonts w:ascii="Cambria" w:hAnsi="Cambria"/>
        </w:rPr>
        <w:t>C</w:t>
      </w:r>
      <w:r w:rsidR="00326DA7" w:rsidRPr="00B044E4">
        <w:rPr>
          <w:rFonts w:ascii="Cambria" w:hAnsi="Cambria"/>
        </w:rPr>
        <w:t>omplex challenges, often characteriz</w:t>
      </w:r>
      <w:r w:rsidR="00073F7B">
        <w:rPr>
          <w:rFonts w:ascii="Cambria" w:hAnsi="Cambria"/>
        </w:rPr>
        <w:t>ed by uncertainty and ambiguity</w:t>
      </w:r>
      <w:r w:rsidR="00326DA7" w:rsidRPr="00B044E4">
        <w:rPr>
          <w:rFonts w:ascii="Cambria" w:hAnsi="Cambria"/>
        </w:rPr>
        <w:t xml:space="preserve"> </w:t>
      </w:r>
      <w:r w:rsidR="00445945" w:rsidRPr="00B044E4">
        <w:rPr>
          <w:rFonts w:ascii="Cambria" w:hAnsi="Cambria"/>
        </w:rPr>
        <w:t xml:space="preserve">and </w:t>
      </w:r>
      <w:r w:rsidR="00326DA7" w:rsidRPr="00B044E4">
        <w:rPr>
          <w:rFonts w:ascii="Cambria" w:hAnsi="Cambria"/>
        </w:rPr>
        <w:t xml:space="preserve">disagreements within society and power games between </w:t>
      </w:r>
      <w:r w:rsidR="00073F7B">
        <w:rPr>
          <w:rFonts w:ascii="Cambria" w:hAnsi="Cambria"/>
        </w:rPr>
        <w:t xml:space="preserve">interest groups </w:t>
      </w:r>
      <w:r w:rsidR="00326DA7" w:rsidRPr="00B044E4">
        <w:rPr>
          <w:rFonts w:ascii="Cambria" w:hAnsi="Cambria"/>
        </w:rPr>
        <w:t>(Bütschi, 2012</w:t>
      </w:r>
      <w:r w:rsidR="00073F7B">
        <w:rPr>
          <w:rFonts w:ascii="Cambria" w:hAnsi="Cambria"/>
        </w:rPr>
        <w:t xml:space="preserve">), which </w:t>
      </w:r>
      <w:r w:rsidR="00073F7B" w:rsidRPr="00B044E4">
        <w:rPr>
          <w:rFonts w:ascii="Cambria" w:hAnsi="Cambria"/>
        </w:rPr>
        <w:t>require the existence of transdisciplinary knowledge and transparency, plurality of values and opinions</w:t>
      </w:r>
      <w:r w:rsidR="00326DA7" w:rsidRPr="00B044E4">
        <w:rPr>
          <w:rFonts w:ascii="Cambria" w:hAnsi="Cambria"/>
        </w:rPr>
        <w:t xml:space="preserve">. </w:t>
      </w:r>
      <w:r w:rsidR="00445945" w:rsidRPr="00B044E4">
        <w:rPr>
          <w:rFonts w:ascii="Cambria" w:hAnsi="Cambria"/>
        </w:rPr>
        <w:t>In the design of RIS3, p</w:t>
      </w:r>
      <w:r w:rsidR="00326DA7" w:rsidRPr="00B044E4">
        <w:rPr>
          <w:rFonts w:ascii="Cambria" w:hAnsi="Cambria"/>
        </w:rPr>
        <w:t xml:space="preserve">olicy makers have to become proactive, </w:t>
      </w:r>
      <w:r w:rsidRPr="00B044E4">
        <w:rPr>
          <w:rFonts w:ascii="Cambria" w:hAnsi="Cambria"/>
        </w:rPr>
        <w:t xml:space="preserve">develop </w:t>
      </w:r>
      <w:r w:rsidR="00326DA7" w:rsidRPr="00B044E4">
        <w:rPr>
          <w:rFonts w:ascii="Cambria" w:hAnsi="Cambria"/>
        </w:rPr>
        <w:t>knowledge</w:t>
      </w:r>
      <w:r w:rsidRPr="00B044E4">
        <w:rPr>
          <w:rFonts w:ascii="Cambria" w:hAnsi="Cambria"/>
        </w:rPr>
        <w:t>-</w:t>
      </w:r>
      <w:r w:rsidR="00326DA7" w:rsidRPr="00B044E4">
        <w:rPr>
          <w:rFonts w:ascii="Cambria" w:hAnsi="Cambria"/>
        </w:rPr>
        <w:t>based and user</w:t>
      </w:r>
      <w:r w:rsidRPr="00B044E4">
        <w:rPr>
          <w:rFonts w:ascii="Cambria" w:hAnsi="Cambria"/>
        </w:rPr>
        <w:t>-</w:t>
      </w:r>
      <w:r w:rsidR="00326DA7" w:rsidRPr="00B044E4">
        <w:rPr>
          <w:rFonts w:ascii="Cambria" w:hAnsi="Cambria"/>
        </w:rPr>
        <w:t xml:space="preserve">driven </w:t>
      </w:r>
      <w:r w:rsidRPr="00B044E4">
        <w:rPr>
          <w:rFonts w:ascii="Cambria" w:hAnsi="Cambria"/>
        </w:rPr>
        <w:t xml:space="preserve">attitudes, </w:t>
      </w:r>
      <w:r w:rsidR="00445945" w:rsidRPr="00B044E4">
        <w:rPr>
          <w:rFonts w:ascii="Cambria" w:hAnsi="Cambria"/>
        </w:rPr>
        <w:t>build</w:t>
      </w:r>
      <w:r w:rsidR="00326DA7" w:rsidRPr="00B044E4">
        <w:rPr>
          <w:rFonts w:ascii="Cambria" w:hAnsi="Cambria"/>
        </w:rPr>
        <w:t xml:space="preserve"> internal capa</w:t>
      </w:r>
      <w:r w:rsidRPr="00B044E4">
        <w:rPr>
          <w:rFonts w:ascii="Cambria" w:hAnsi="Cambria"/>
        </w:rPr>
        <w:t xml:space="preserve">bilities to manage </w:t>
      </w:r>
      <w:r w:rsidR="00326DA7" w:rsidRPr="00B044E4">
        <w:rPr>
          <w:rFonts w:ascii="Cambria" w:hAnsi="Cambria"/>
        </w:rPr>
        <w:t xml:space="preserve">information </w:t>
      </w:r>
      <w:r w:rsidRPr="00B044E4">
        <w:rPr>
          <w:rFonts w:ascii="Cambria" w:hAnsi="Cambria"/>
        </w:rPr>
        <w:t>and user engagement</w:t>
      </w:r>
      <w:r w:rsidR="00445945" w:rsidRPr="00B044E4">
        <w:rPr>
          <w:rFonts w:ascii="Cambria" w:hAnsi="Cambria"/>
        </w:rPr>
        <w:t>. All these</w:t>
      </w:r>
      <w:r w:rsidRPr="00B044E4">
        <w:rPr>
          <w:rFonts w:ascii="Cambria" w:hAnsi="Cambria"/>
        </w:rPr>
        <w:t xml:space="preserve"> into an environment that in many respects is precarious and without sufficient institutional and methodological tools.</w:t>
      </w:r>
    </w:p>
    <w:p w:rsidR="001757B0" w:rsidRPr="00B044E4" w:rsidRDefault="001757B0" w:rsidP="00CA379D">
      <w:pPr>
        <w:spacing w:after="0" w:line="240" w:lineRule="auto"/>
        <w:rPr>
          <w:rFonts w:ascii="Cambria" w:hAnsi="Cambria"/>
        </w:rPr>
      </w:pPr>
    </w:p>
    <w:p w:rsidR="00F41019" w:rsidRPr="00B044E4" w:rsidRDefault="001757B0" w:rsidP="00CA379D">
      <w:pPr>
        <w:spacing w:after="0" w:line="240" w:lineRule="auto"/>
        <w:jc w:val="both"/>
        <w:rPr>
          <w:rFonts w:ascii="Cambria" w:hAnsi="Cambria"/>
        </w:rPr>
      </w:pPr>
      <w:r w:rsidRPr="00B044E4">
        <w:rPr>
          <w:rFonts w:ascii="Cambria" w:hAnsi="Cambria"/>
        </w:rPr>
        <w:t xml:space="preserve">The research hypothesis </w:t>
      </w:r>
      <w:r w:rsidR="00F41019" w:rsidRPr="00B044E4">
        <w:rPr>
          <w:rFonts w:ascii="Cambria" w:hAnsi="Cambria"/>
        </w:rPr>
        <w:t xml:space="preserve">of Online S3 </w:t>
      </w:r>
      <w:r w:rsidRPr="00B044E4">
        <w:rPr>
          <w:rFonts w:ascii="Cambria" w:hAnsi="Cambria"/>
        </w:rPr>
        <w:t xml:space="preserve">towards this challenge </w:t>
      </w:r>
      <w:r w:rsidR="00F41019" w:rsidRPr="00B044E4">
        <w:rPr>
          <w:rFonts w:ascii="Cambria" w:hAnsi="Cambria"/>
        </w:rPr>
        <w:t xml:space="preserve">was to fil the gap in strategy development competences </w:t>
      </w:r>
      <w:r w:rsidR="00445945" w:rsidRPr="00B044E4">
        <w:rPr>
          <w:rFonts w:ascii="Cambria" w:hAnsi="Cambria"/>
        </w:rPr>
        <w:t xml:space="preserve">and methods </w:t>
      </w:r>
      <w:r w:rsidR="00F41019" w:rsidRPr="00B044E4">
        <w:rPr>
          <w:rFonts w:ascii="Cambria" w:hAnsi="Cambria"/>
        </w:rPr>
        <w:t xml:space="preserve">through the web-based </w:t>
      </w:r>
      <w:r w:rsidR="00073F7B">
        <w:rPr>
          <w:rFonts w:ascii="Cambria" w:hAnsi="Cambria"/>
        </w:rPr>
        <w:t xml:space="preserve">solutions that </w:t>
      </w:r>
      <w:r w:rsidR="00F41019" w:rsidRPr="00B044E4">
        <w:rPr>
          <w:rFonts w:ascii="Cambria" w:hAnsi="Cambria"/>
        </w:rPr>
        <w:t>facilitat</w:t>
      </w:r>
      <w:r w:rsidR="002F5BA2">
        <w:rPr>
          <w:rFonts w:ascii="Cambria" w:hAnsi="Cambria"/>
        </w:rPr>
        <w:t>e</w:t>
      </w:r>
      <w:r w:rsidR="00F41019" w:rsidRPr="00B044E4">
        <w:rPr>
          <w:rFonts w:ascii="Cambria" w:hAnsi="Cambria"/>
        </w:rPr>
        <w:t xml:space="preserve"> user engagement</w:t>
      </w:r>
      <w:r w:rsidR="00445945" w:rsidRPr="00B044E4">
        <w:rPr>
          <w:rFonts w:ascii="Cambria" w:hAnsi="Cambria"/>
        </w:rPr>
        <w:t xml:space="preserve"> environment</w:t>
      </w:r>
      <w:r w:rsidR="00F41019" w:rsidRPr="00B044E4">
        <w:rPr>
          <w:rFonts w:ascii="Cambria" w:hAnsi="Cambria"/>
        </w:rPr>
        <w:t xml:space="preserve">, </w:t>
      </w:r>
      <w:r w:rsidR="00445945" w:rsidRPr="00B044E4">
        <w:rPr>
          <w:rFonts w:ascii="Cambria" w:hAnsi="Cambria"/>
        </w:rPr>
        <w:t xml:space="preserve">easy </w:t>
      </w:r>
      <w:r w:rsidR="00F41019" w:rsidRPr="00B044E4">
        <w:rPr>
          <w:rFonts w:ascii="Cambria" w:hAnsi="Cambria"/>
        </w:rPr>
        <w:t xml:space="preserve">access to datasets, and implementation of complex methodologies through software applications. An e-policy platform, augmented with applications and online services, might be able to assist national and regional authorities to elaborate and </w:t>
      </w:r>
      <w:r w:rsidR="002F5BA2">
        <w:rPr>
          <w:rFonts w:ascii="Cambria" w:hAnsi="Cambria"/>
        </w:rPr>
        <w:t xml:space="preserve">implement </w:t>
      </w:r>
      <w:r w:rsidR="00F41019" w:rsidRPr="00B044E4">
        <w:rPr>
          <w:rFonts w:ascii="Cambria" w:hAnsi="Cambria"/>
        </w:rPr>
        <w:t>adequately their smart specialisation agenda. In this regard, the platform should leverage existing methodologies, initiatives and tools developed by the EC for the RIS3 strategy and augmen</w:t>
      </w:r>
      <w:r w:rsidR="00445945" w:rsidRPr="00B044E4">
        <w:rPr>
          <w:rFonts w:ascii="Cambria" w:hAnsi="Cambria"/>
        </w:rPr>
        <w:t xml:space="preserve">t them with further development, </w:t>
      </w:r>
      <w:r w:rsidR="00F41019" w:rsidRPr="00B044E4">
        <w:rPr>
          <w:rFonts w:ascii="Cambria" w:hAnsi="Cambria"/>
        </w:rPr>
        <w:t>strengthen</w:t>
      </w:r>
      <w:r w:rsidR="00445945" w:rsidRPr="00B044E4">
        <w:rPr>
          <w:rFonts w:ascii="Cambria" w:hAnsi="Cambria"/>
        </w:rPr>
        <w:t>ing</w:t>
      </w:r>
      <w:r w:rsidR="00F41019" w:rsidRPr="00B044E4">
        <w:rPr>
          <w:rFonts w:ascii="Cambria" w:hAnsi="Cambria"/>
        </w:rPr>
        <w:t xml:space="preserve"> the capacity for evidence-based and collaborative policy design. In other words, </w:t>
      </w:r>
      <w:r w:rsidR="00445945" w:rsidRPr="00B044E4">
        <w:rPr>
          <w:rFonts w:ascii="Cambria" w:hAnsi="Cambria"/>
        </w:rPr>
        <w:t xml:space="preserve">the </w:t>
      </w:r>
      <w:r w:rsidR="002F5BA2">
        <w:rPr>
          <w:rFonts w:ascii="Cambria" w:hAnsi="Cambria"/>
        </w:rPr>
        <w:t xml:space="preserve">research of </w:t>
      </w:r>
      <w:r w:rsidR="00F41019" w:rsidRPr="00B044E4">
        <w:rPr>
          <w:rFonts w:ascii="Cambria" w:hAnsi="Cambria"/>
        </w:rPr>
        <w:t xml:space="preserve">Online S3 </w:t>
      </w:r>
      <w:r w:rsidR="00445945" w:rsidRPr="00B044E4">
        <w:rPr>
          <w:rFonts w:ascii="Cambria" w:hAnsi="Cambria"/>
        </w:rPr>
        <w:t xml:space="preserve">should </w:t>
      </w:r>
      <w:r w:rsidR="00F41019" w:rsidRPr="00B044E4">
        <w:rPr>
          <w:rFonts w:ascii="Cambria" w:hAnsi="Cambria"/>
        </w:rPr>
        <w:t>develop and test innovative technologies, tools and e-services</w:t>
      </w:r>
      <w:r w:rsidR="00445945" w:rsidRPr="00B044E4">
        <w:rPr>
          <w:rFonts w:ascii="Cambria" w:hAnsi="Cambria"/>
        </w:rPr>
        <w:t>,</w:t>
      </w:r>
      <w:r w:rsidR="00F41019" w:rsidRPr="00B044E4">
        <w:rPr>
          <w:rFonts w:ascii="Cambria" w:hAnsi="Cambria"/>
        </w:rPr>
        <w:t xml:space="preserve"> which </w:t>
      </w:r>
      <w:r w:rsidR="00445945" w:rsidRPr="00B044E4">
        <w:rPr>
          <w:rFonts w:ascii="Cambria" w:hAnsi="Cambria"/>
        </w:rPr>
        <w:t xml:space="preserve">are </w:t>
      </w:r>
      <w:r w:rsidR="00F41019" w:rsidRPr="00B044E4">
        <w:rPr>
          <w:rFonts w:ascii="Cambria" w:hAnsi="Cambria"/>
        </w:rPr>
        <w:t>in line with the methodological principles of smart specialisation as conceived by the European Commission</w:t>
      </w:r>
      <w:r w:rsidR="007C7B82" w:rsidRPr="00B044E4">
        <w:rPr>
          <w:rFonts w:ascii="Cambria" w:hAnsi="Cambria"/>
        </w:rPr>
        <w:t>, innovation experts, and academics</w:t>
      </w:r>
      <w:r w:rsidR="00F41019" w:rsidRPr="00B044E4">
        <w:rPr>
          <w:rFonts w:ascii="Cambria" w:hAnsi="Cambria"/>
        </w:rPr>
        <w:t xml:space="preserve">. </w:t>
      </w:r>
    </w:p>
    <w:p w:rsidR="001757B0" w:rsidRPr="00B044E4" w:rsidRDefault="001757B0" w:rsidP="00CA379D">
      <w:pPr>
        <w:spacing w:after="0" w:line="240" w:lineRule="auto"/>
        <w:rPr>
          <w:rFonts w:ascii="Cambria" w:hAnsi="Cambria" w:cs="Times New Roman"/>
          <w:b/>
        </w:rPr>
      </w:pPr>
    </w:p>
    <w:p w:rsidR="009A6A1E" w:rsidRPr="00B044E4" w:rsidRDefault="00F41019" w:rsidP="00CA379D">
      <w:pPr>
        <w:spacing w:after="0" w:line="240" w:lineRule="auto"/>
        <w:jc w:val="both"/>
        <w:rPr>
          <w:rFonts w:ascii="Cambria" w:hAnsi="Cambria" w:cs="Times New Roman"/>
        </w:rPr>
      </w:pPr>
      <w:r w:rsidRPr="00B044E4">
        <w:rPr>
          <w:rFonts w:ascii="Cambria" w:hAnsi="Cambria" w:cs="Times New Roman"/>
        </w:rPr>
        <w:lastRenderedPageBreak/>
        <w:t xml:space="preserve">The consortium of </w:t>
      </w:r>
      <w:r w:rsidR="002F5BA2">
        <w:rPr>
          <w:rFonts w:ascii="Cambria" w:hAnsi="Cambria" w:cs="Times New Roman"/>
        </w:rPr>
        <w:t>Online S3,</w:t>
      </w:r>
      <w:r w:rsidR="00F64E25" w:rsidRPr="00B044E4">
        <w:rPr>
          <w:rFonts w:ascii="Cambria" w:hAnsi="Cambria" w:cs="Times New Roman"/>
        </w:rPr>
        <w:t xml:space="preserve"> </w:t>
      </w:r>
      <w:r w:rsidRPr="00B044E4">
        <w:rPr>
          <w:rFonts w:ascii="Cambria" w:hAnsi="Cambria" w:cs="Times New Roman"/>
        </w:rPr>
        <w:t xml:space="preserve">for </w:t>
      </w:r>
      <w:r w:rsidR="00F64E25" w:rsidRPr="00B044E4">
        <w:rPr>
          <w:rFonts w:ascii="Cambria" w:hAnsi="Cambria" w:cs="Times New Roman"/>
        </w:rPr>
        <w:t>i</w:t>
      </w:r>
      <w:r w:rsidR="00CB1382" w:rsidRPr="00B044E4">
        <w:rPr>
          <w:rFonts w:ascii="Cambria" w:hAnsi="Cambria" w:cs="Times New Roman"/>
        </w:rPr>
        <w:t>mproving RIS3 by data i</w:t>
      </w:r>
      <w:r w:rsidR="00F64E25" w:rsidRPr="00B044E4">
        <w:rPr>
          <w:rFonts w:ascii="Cambria" w:hAnsi="Cambria" w:cs="Times New Roman"/>
        </w:rPr>
        <w:t>ntelligence and user engagement</w:t>
      </w:r>
      <w:r w:rsidRPr="00B044E4">
        <w:rPr>
          <w:rFonts w:ascii="Cambria" w:hAnsi="Cambria" w:cs="Times New Roman"/>
        </w:rPr>
        <w:t xml:space="preserve">, </w:t>
      </w:r>
      <w:r w:rsidR="00DA050F" w:rsidRPr="00B044E4">
        <w:rPr>
          <w:rFonts w:ascii="Cambria" w:hAnsi="Cambria" w:cs="Times New Roman"/>
        </w:rPr>
        <w:t>was composed of three universities (</w:t>
      </w:r>
      <w:r w:rsidR="009A6A1E" w:rsidRPr="00B044E4">
        <w:rPr>
          <w:rFonts w:ascii="Cambria" w:hAnsi="Cambria" w:cs="Times New Roman"/>
        </w:rPr>
        <w:t>Aalto University</w:t>
      </w:r>
      <w:r w:rsidR="00DA050F" w:rsidRPr="00B044E4">
        <w:rPr>
          <w:rFonts w:ascii="Cambria" w:hAnsi="Cambria" w:cs="Times New Roman"/>
        </w:rPr>
        <w:t xml:space="preserve">, </w:t>
      </w:r>
      <w:r w:rsidR="009A6A1E" w:rsidRPr="00B044E4">
        <w:rPr>
          <w:rFonts w:ascii="Cambria" w:hAnsi="Cambria" w:cs="Times New Roman"/>
        </w:rPr>
        <w:t>Aristotle University of Thessaloniki</w:t>
      </w:r>
      <w:r w:rsidR="00DA050F" w:rsidRPr="00B044E4">
        <w:rPr>
          <w:rFonts w:ascii="Cambria" w:hAnsi="Cambria" w:cs="Times New Roman"/>
        </w:rPr>
        <w:t xml:space="preserve">, </w:t>
      </w:r>
      <w:r w:rsidR="009A6A1E" w:rsidRPr="00B044E4">
        <w:rPr>
          <w:rFonts w:ascii="Cambria" w:hAnsi="Cambria" w:cs="Times New Roman"/>
        </w:rPr>
        <w:t>Edinburgh Napier University</w:t>
      </w:r>
      <w:r w:rsidR="00DA050F" w:rsidRPr="00B044E4">
        <w:rPr>
          <w:rFonts w:ascii="Cambria" w:hAnsi="Cambria" w:cs="Times New Roman"/>
        </w:rPr>
        <w:t xml:space="preserve">); five </w:t>
      </w:r>
      <w:r w:rsidR="008A30E3" w:rsidRPr="00B044E4">
        <w:rPr>
          <w:rFonts w:ascii="Cambria" w:hAnsi="Cambria" w:cs="Times New Roman"/>
        </w:rPr>
        <w:t xml:space="preserve">technology-led </w:t>
      </w:r>
      <w:r w:rsidR="00DA050F" w:rsidRPr="00B044E4">
        <w:rPr>
          <w:rFonts w:ascii="Cambria" w:hAnsi="Cambria" w:cs="Times New Roman"/>
        </w:rPr>
        <w:t>companies (</w:t>
      </w:r>
      <w:r w:rsidR="009A6A1E" w:rsidRPr="00B044E4">
        <w:rPr>
          <w:rFonts w:ascii="Cambria" w:hAnsi="Cambria" w:cs="Times New Roman"/>
        </w:rPr>
        <w:t>European Future Innovation System Centre</w:t>
      </w:r>
      <w:r w:rsidR="00DA050F" w:rsidRPr="00B044E4">
        <w:rPr>
          <w:rFonts w:ascii="Cambria" w:hAnsi="Cambria" w:cs="Times New Roman"/>
        </w:rPr>
        <w:t xml:space="preserve">, </w:t>
      </w:r>
      <w:r w:rsidR="00DA050F" w:rsidRPr="00B044E4">
        <w:rPr>
          <w:rFonts w:ascii="Cambria" w:hAnsi="Cambria" w:cs="TimesNewRomanPSMT"/>
        </w:rPr>
        <w:t xml:space="preserve">Innova Integra, </w:t>
      </w:r>
      <w:r w:rsidR="00DA050F" w:rsidRPr="00B044E4">
        <w:rPr>
          <w:rFonts w:ascii="Cambria" w:hAnsi="Cambria" w:cs="Times New Roman"/>
        </w:rPr>
        <w:t xml:space="preserve">Intelspace Innovation Technologies, Research and Innovation Management, and </w:t>
      </w:r>
      <w:r w:rsidR="009A6A1E" w:rsidRPr="00B044E4">
        <w:rPr>
          <w:rFonts w:ascii="Cambria" w:hAnsi="Cambria" w:cs="Times New Roman"/>
        </w:rPr>
        <w:t xml:space="preserve">Research, Technology </w:t>
      </w:r>
      <w:r w:rsidR="00DA050F" w:rsidRPr="00B044E4">
        <w:rPr>
          <w:rFonts w:ascii="Cambria" w:hAnsi="Cambria" w:cs="Times New Roman"/>
        </w:rPr>
        <w:t>Development and Innovation); three business related organisations (</w:t>
      </w:r>
      <w:r w:rsidR="009A6A1E" w:rsidRPr="00B044E4">
        <w:rPr>
          <w:rFonts w:ascii="Cambria" w:hAnsi="Cambria" w:cs="Times New Roman"/>
        </w:rPr>
        <w:t>Edinburgh Centre for Carbon Innovation</w:t>
      </w:r>
      <w:r w:rsidR="00DA050F" w:rsidRPr="00B044E4">
        <w:rPr>
          <w:rFonts w:ascii="Cambria" w:hAnsi="Cambria" w:cs="Times New Roman"/>
        </w:rPr>
        <w:t>, Ec</w:t>
      </w:r>
      <w:r w:rsidR="009A6A1E" w:rsidRPr="00B044E4">
        <w:rPr>
          <w:rFonts w:ascii="Cambria" w:hAnsi="Cambria" w:cs="Times New Roman"/>
        </w:rPr>
        <w:t>onom</w:t>
      </w:r>
      <w:r w:rsidR="00DA050F" w:rsidRPr="00B044E4">
        <w:rPr>
          <w:rFonts w:ascii="Cambria" w:hAnsi="Cambria" w:cs="Times New Roman"/>
        </w:rPr>
        <w:t xml:space="preserve">ic </w:t>
      </w:r>
      <w:r w:rsidR="009A6A1E" w:rsidRPr="00B044E4">
        <w:rPr>
          <w:rFonts w:ascii="Cambria" w:hAnsi="Cambria" w:cs="Times New Roman"/>
        </w:rPr>
        <w:t>Institut</w:t>
      </w:r>
      <w:r w:rsidR="00DA050F" w:rsidRPr="00B044E4">
        <w:rPr>
          <w:rFonts w:ascii="Cambria" w:hAnsi="Cambria" w:cs="Times New Roman"/>
        </w:rPr>
        <w:t>e</w:t>
      </w:r>
      <w:r w:rsidR="009A6A1E" w:rsidRPr="00B044E4">
        <w:rPr>
          <w:rFonts w:ascii="Cambria" w:hAnsi="Cambria" w:cs="Times New Roman"/>
        </w:rPr>
        <w:t xml:space="preserve"> </w:t>
      </w:r>
      <w:r w:rsidR="00DA050F" w:rsidRPr="00B044E4">
        <w:rPr>
          <w:rFonts w:ascii="Cambria" w:hAnsi="Cambria" w:cs="Times New Roman"/>
        </w:rPr>
        <w:t xml:space="preserve">of </w:t>
      </w:r>
      <w:r w:rsidR="009A6A1E" w:rsidRPr="00B044E4">
        <w:rPr>
          <w:rFonts w:ascii="Cambria" w:hAnsi="Cambria" w:cs="Times New Roman"/>
        </w:rPr>
        <w:t>Maribor</w:t>
      </w:r>
      <w:r w:rsidR="00DA050F" w:rsidRPr="00B044E4">
        <w:rPr>
          <w:rFonts w:ascii="Cambria" w:hAnsi="Cambria" w:cs="Times New Roman"/>
        </w:rPr>
        <w:t xml:space="preserve">, </w:t>
      </w:r>
      <w:r w:rsidR="009A6A1E" w:rsidRPr="00B044E4">
        <w:rPr>
          <w:rFonts w:ascii="Cambria" w:hAnsi="Cambria" w:cs="Times New Roman"/>
        </w:rPr>
        <w:t>Slovak Business Agency</w:t>
      </w:r>
      <w:r w:rsidR="008A30E3" w:rsidRPr="00B044E4">
        <w:rPr>
          <w:rFonts w:ascii="Cambria" w:hAnsi="Cambria" w:cs="Times New Roman"/>
        </w:rPr>
        <w:t>);</w:t>
      </w:r>
      <w:r w:rsidR="00DA050F" w:rsidRPr="00B044E4">
        <w:rPr>
          <w:rFonts w:ascii="Cambria" w:hAnsi="Cambria" w:cs="Times New Roman"/>
        </w:rPr>
        <w:t xml:space="preserve"> and three regional authorities (</w:t>
      </w:r>
      <w:r w:rsidR="009A6A1E" w:rsidRPr="00B044E4">
        <w:rPr>
          <w:rFonts w:ascii="Cambria" w:hAnsi="Cambria" w:cs="Times New Roman"/>
        </w:rPr>
        <w:t>Central Macedonia</w:t>
      </w:r>
      <w:r w:rsidR="00DA050F" w:rsidRPr="00B044E4">
        <w:rPr>
          <w:rFonts w:ascii="Cambria" w:hAnsi="Cambria" w:cs="Times New Roman"/>
        </w:rPr>
        <w:t xml:space="preserve">, </w:t>
      </w:r>
      <w:r w:rsidR="009A6A1E" w:rsidRPr="00B044E4">
        <w:rPr>
          <w:rFonts w:ascii="Cambria" w:hAnsi="Cambria" w:cs="Times New Roman"/>
        </w:rPr>
        <w:t>Galicia</w:t>
      </w:r>
      <w:r w:rsidR="00DA050F" w:rsidRPr="00B044E4">
        <w:rPr>
          <w:rFonts w:ascii="Cambria" w:hAnsi="Cambria" w:cs="Times New Roman"/>
        </w:rPr>
        <w:t>, n</w:t>
      </w:r>
      <w:r w:rsidR="009A6A1E" w:rsidRPr="00B044E4">
        <w:rPr>
          <w:rFonts w:ascii="Cambria" w:hAnsi="Cambria" w:cs="Times New Roman"/>
        </w:rPr>
        <w:t>orthern Netherlands</w:t>
      </w:r>
      <w:r w:rsidR="00DA050F" w:rsidRPr="00B044E4">
        <w:rPr>
          <w:rFonts w:ascii="Cambria" w:hAnsi="Cambria" w:cs="Times New Roman"/>
        </w:rPr>
        <w:t>).</w:t>
      </w:r>
      <w:r w:rsidR="008A30E3" w:rsidRPr="00B044E4">
        <w:rPr>
          <w:rFonts w:ascii="Cambria" w:hAnsi="Cambria" w:cs="Times New Roman"/>
        </w:rPr>
        <w:t xml:space="preserve"> Working in tandem</w:t>
      </w:r>
      <w:r w:rsidR="007C7B82" w:rsidRPr="00B044E4">
        <w:rPr>
          <w:rFonts w:ascii="Cambria" w:hAnsi="Cambria" w:cs="Times New Roman"/>
        </w:rPr>
        <w:t>,</w:t>
      </w:r>
      <w:r w:rsidR="008A30E3" w:rsidRPr="00B044E4">
        <w:rPr>
          <w:rFonts w:ascii="Cambria" w:hAnsi="Cambria" w:cs="Times New Roman"/>
        </w:rPr>
        <w:t xml:space="preserve"> </w:t>
      </w:r>
      <w:r w:rsidR="00C54C7D" w:rsidRPr="00B044E4">
        <w:rPr>
          <w:rFonts w:ascii="Cambria" w:hAnsi="Cambria" w:cs="Times New Roman"/>
        </w:rPr>
        <w:t>these organisations</w:t>
      </w:r>
      <w:r w:rsidR="008A30E3" w:rsidRPr="00B044E4">
        <w:rPr>
          <w:rFonts w:ascii="Cambria" w:hAnsi="Cambria" w:cs="Times New Roman"/>
        </w:rPr>
        <w:t xml:space="preserve"> undertook the development of a web-based platform, composed of methodologies, </w:t>
      </w:r>
      <w:r w:rsidR="002F5BA2">
        <w:rPr>
          <w:rFonts w:ascii="Cambria" w:hAnsi="Cambria" w:cs="Times New Roman"/>
        </w:rPr>
        <w:t xml:space="preserve">software </w:t>
      </w:r>
      <w:r w:rsidR="008A30E3" w:rsidRPr="00B044E4">
        <w:rPr>
          <w:rFonts w:ascii="Cambria" w:hAnsi="Cambria" w:cs="Times New Roman"/>
        </w:rPr>
        <w:t xml:space="preserve">applications, and roadmaps, test </w:t>
      </w:r>
      <w:r w:rsidR="007C7B82" w:rsidRPr="00B044E4">
        <w:rPr>
          <w:rFonts w:ascii="Cambria" w:hAnsi="Cambria" w:cs="Times New Roman"/>
        </w:rPr>
        <w:t xml:space="preserve">them </w:t>
      </w:r>
      <w:r w:rsidR="008A30E3" w:rsidRPr="00B044E4">
        <w:rPr>
          <w:rFonts w:ascii="Cambria" w:hAnsi="Cambria" w:cs="Times New Roman"/>
        </w:rPr>
        <w:t>in real environments, and offer a compl</w:t>
      </w:r>
      <w:r w:rsidR="00C54C7D" w:rsidRPr="00B044E4">
        <w:rPr>
          <w:rFonts w:ascii="Cambria" w:hAnsi="Cambria" w:cs="Times New Roman"/>
        </w:rPr>
        <w:t xml:space="preserve">ete guide and assistance </w:t>
      </w:r>
      <w:r w:rsidR="008A30E3" w:rsidRPr="00B044E4">
        <w:rPr>
          <w:rFonts w:ascii="Cambria" w:hAnsi="Cambria" w:cs="Times New Roman"/>
        </w:rPr>
        <w:t xml:space="preserve">to the design and implementation of RIS3. Some lessons learnt during this socio-technological experiment are discussed here, in view of </w:t>
      </w:r>
      <w:r w:rsidR="00C54C7D" w:rsidRPr="00B044E4">
        <w:rPr>
          <w:rFonts w:ascii="Cambria" w:hAnsi="Cambria" w:cs="Times New Roman"/>
        </w:rPr>
        <w:t xml:space="preserve">direct and immediate improvement of </w:t>
      </w:r>
      <w:r w:rsidR="002F5BA2">
        <w:rPr>
          <w:rFonts w:ascii="Cambria" w:hAnsi="Cambria" w:cs="Times New Roman"/>
        </w:rPr>
        <w:t xml:space="preserve">regional and national </w:t>
      </w:r>
      <w:r w:rsidR="00C54C7D" w:rsidRPr="00B044E4">
        <w:rPr>
          <w:rFonts w:ascii="Cambria" w:hAnsi="Cambria" w:cs="Times New Roman"/>
        </w:rPr>
        <w:t>capabilities for designing and implementing smart specialisation strategies.</w:t>
      </w:r>
    </w:p>
    <w:p w:rsidR="00F41019" w:rsidRPr="00B044E4" w:rsidRDefault="00F41019" w:rsidP="00CA379D">
      <w:pPr>
        <w:spacing w:after="0" w:line="240" w:lineRule="auto"/>
        <w:rPr>
          <w:rFonts w:ascii="Cambria" w:hAnsi="Cambria" w:cs="Times New Roman"/>
          <w:color w:val="0070C0"/>
        </w:rPr>
      </w:pPr>
    </w:p>
    <w:p w:rsidR="00F41019" w:rsidRPr="00B044E4" w:rsidRDefault="00F41019" w:rsidP="00CA379D">
      <w:pPr>
        <w:spacing w:after="0" w:line="240" w:lineRule="auto"/>
        <w:rPr>
          <w:rFonts w:ascii="Cambria" w:hAnsi="Cambria" w:cs="Times New Roman"/>
          <w:color w:val="0070C0"/>
        </w:rPr>
      </w:pPr>
    </w:p>
    <w:p w:rsidR="00CB1382" w:rsidRPr="00B044E4" w:rsidRDefault="00CB1382" w:rsidP="00CA379D">
      <w:pPr>
        <w:spacing w:after="0" w:line="240" w:lineRule="auto"/>
        <w:rPr>
          <w:rFonts w:ascii="Cambria" w:hAnsi="Cambria" w:cs="Times New Roman"/>
          <w:color w:val="0070C0"/>
          <w:sz w:val="32"/>
          <w:szCs w:val="24"/>
        </w:rPr>
      </w:pPr>
      <w:r w:rsidRPr="00B044E4">
        <w:rPr>
          <w:rFonts w:ascii="Cambria" w:hAnsi="Cambria" w:cs="Times New Roman"/>
          <w:color w:val="0070C0"/>
          <w:sz w:val="32"/>
          <w:szCs w:val="24"/>
        </w:rPr>
        <w:t xml:space="preserve">2. RIS3 rational </w:t>
      </w:r>
    </w:p>
    <w:p w:rsidR="007A2A81" w:rsidRPr="00B044E4" w:rsidRDefault="007A2A81" w:rsidP="00CA379D">
      <w:pPr>
        <w:spacing w:after="0" w:line="240" w:lineRule="auto"/>
        <w:rPr>
          <w:rFonts w:ascii="Cambria" w:hAnsi="Cambria" w:cs="Times New Roman"/>
          <w:color w:val="0070C0"/>
        </w:rPr>
      </w:pPr>
    </w:p>
    <w:p w:rsidR="00CB1382" w:rsidRPr="00B044E4" w:rsidRDefault="00CB1382" w:rsidP="00CA379D">
      <w:pPr>
        <w:spacing w:after="0" w:line="240" w:lineRule="auto"/>
        <w:jc w:val="both"/>
        <w:rPr>
          <w:rFonts w:ascii="Cambria" w:hAnsi="Cambria" w:cs="Times New Roman"/>
        </w:rPr>
      </w:pPr>
      <w:r w:rsidRPr="00B044E4">
        <w:rPr>
          <w:rFonts w:ascii="Cambria" w:hAnsi="Cambria" w:cs="Times New Roman"/>
        </w:rPr>
        <w:t xml:space="preserve">In Europe Research and Innovation Smart Specialisation Strategies have become </w:t>
      </w:r>
      <w:r w:rsidR="000006E9" w:rsidRPr="00B044E4">
        <w:rPr>
          <w:rFonts w:ascii="Cambria" w:hAnsi="Cambria" w:cs="Times New Roman"/>
        </w:rPr>
        <w:t xml:space="preserve">a </w:t>
      </w:r>
      <w:r w:rsidRPr="00B044E4">
        <w:rPr>
          <w:rFonts w:ascii="Cambria" w:hAnsi="Cambria" w:cs="Times New Roman"/>
        </w:rPr>
        <w:t xml:space="preserve">leading political instruments of the cohesion policy </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"DOI" : "10.1108/EJIM-09-2014-0096", "ISBN" : "0520140052", "ISSN" : "14601060", "PMID" : "42012058", "abstract" : "Purpose \u2013 The purpose of this paper is to focus on the distinction between smart specialisation and smart specialisation policy and it studies under what conditions a smart specialisation policy is necessary. Design/methodology/approach \u2013 A conceptual framework is built based on historical evidence of successful dynamics of structural changes at regional level qualified as \u201csmart specialisation\u201d. The identification of market and coordination failures that are likely to impede the occurrence of spontaneous process of smart specialisation makes a good case for a smart specialisation policy. Findings \u2013 The paper highlights important design principles for the policy process that should help to minimise potential risks of policy failures and policy capture. Research limitations/implications \u2013 The paper does assess the effect of smart specialisation on innovation and growth at regional level because it is too early to observe and measure effects. The paper confines itself to conjectures about the effects of such a policy. Practical implications \u2013 The paper makes recommendations and explains some of the practicalities about the implementation of the policy at regional level. Originality/value \u2013 The paper is one of the first dealing with the topic of smart specialisation policy.", "author" : [ { "dropping-particle" : "", "family" : "Foray", "given" : "Dominique", "non-dropping-particle" : "", "parse-names" : false, "suffix" : "" } ], "container-title" : "European Journal of Innovation Management", "id" : "ITEM-1", "issue" : "4", "issued" : { "date-parts" : [ [ "2014" ] ] }, "page" : "492-507", "title" : "From smart specialisation to smart specialisation policy", "type" : "article-journal", "volume" : "17" }, "uris" : [ "http://www.mendeley.com/documents/?uuid=8d7783da-5e95-4c8c-a0e3-f60820b1fa67" ] } ], "mendeley" : { "formattedCitation" : "(Dominique Foray, 2014)", "manualFormatting" : "(Foray, 2014", "plainTextFormattedCitation" : "(Dominique Foray, 2014)", "previouslyFormattedCitation" : "(Dominique Foray, 2014)"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(Foray, 2014</w:t>
      </w:r>
      <w:r w:rsidRPr="00B044E4">
        <w:rPr>
          <w:rFonts w:ascii="Cambria" w:hAnsi="Cambria" w:cs="Times New Roman"/>
        </w:rPr>
        <w:fldChar w:fldCharType="end"/>
      </w:r>
      <w:r w:rsidRPr="00B044E4">
        <w:rPr>
          <w:rFonts w:ascii="Cambria" w:hAnsi="Cambria" w:cs="Times New Roman"/>
        </w:rPr>
        <w:t xml:space="preserve">; </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"DOI" : "10.1080/00343404.2013.799769", "ISBN" : "0034-3404", "abstract" : "McCann P. and Ortega-Argiles R. Smart specialization, regional growth and applications to European Union Cohesion policy, Regional Studies. The aim of this paper is to achieve two objectives. Firstly, it examines the smart specialization concept and explains the challenges involved in applying this originally sectoral concept to an explicitly spatial and regional setting. Secondly, it explains the ways in which this might be achieved so as to make the concept suitable as a building block of a reformed European Union cohesion policy.", "author" : [ { "dropping-particle" : "", "family" : "McCann", "given" : "P", "non-dropping-particle" : "", "parse-names" : false, "suffix" : "" }, { "dropping-particle" : "", "family" : "Ortega-Argiles", "given" : "R", "non-dropping-particle" : "", "parse-names" : false, "suffix" : "" } ], "container-title" : "Regional Studies", "genre" : "Journal Article", "id" : "ITEM-1", "issue" : "8", "issued" : { "date-parts" : [ [ "2015" ] ] }, "language" : "English", "note" : "ISI Document Delivery No.: CL4RO\nTimes Cited: 14\nCited Reference Count: 52\nCited References: \nAcs Z. J., 2002, INNOVATION GROWTH CI\nGaspar J, 1998, J URBAN ECON, V43, P136, DOI 10.1006/juec.1996.2031\nBarca F, 2012, J REGIONAL SCI, V52, P134, DOI 10.1111/j.1467-9787.2011.00756.x\nMcCann P, 2013, CAMB J REG ECON SOC, V6, P187, DOI 10.1093/cjres/rst007\nDuranton G, 2007, AM ECON REV, V97, P197, DOI 10.1257/aer.97.1.197\nNeffke F, 2011, ECON GEOGR, V87, P237, DOI 10.1111/j.1944-8287.2011.01121.x\nBoschma R, 2009, ECON GEOGR, V85, P289, DOI 10.1111/j.1944-8287.2009.01034.x\nTodtling F, 2005, RES POLICY, V34, P1203, DOI 10.1016/j.respol.2005.01.018\nDijkstra L, 2013, EUR PLAN STUD, V21, P334, DOI 10.1080/09654313.2012.716245\nDuranton G, 2001, AM ECON REV, V91, P1454, DOI 10.1257/aer.91.5.1454\nCarlino GA, 2007, J URBAN ECON, V61, P389, DOI 10.1016/j.jue.2006.08.003\nFaggian A, 2006, OXFORD ECON PAP, V58, P475, DOI 10.1093/oep/gpl010\nIammarino S, 2006, RES POLICY, V35, P1018, DOI 10.1016/j.respol.2006.05.004\nFaggian A, 2009, CAMB J ECON, V33, P317, DOI 10.1093/cje/ben042\nOrtega-Argiles R, 2010, CONTEMP ECON POLICY, V28, P353, DOI 10.1111/j.1465-7287.2009.00186.x\nMcCann P, 2008, CAMB J REG ECON SOC, V1, P351, DOI 10.1093/cjres/rsn002\nBarca F., 2009, AGENDA REFORMED COHE\nBarca F., 2011, METHODOLOGICAL NOTE\nBoschma R., 2012, PAPERS REGIONAL SCI, V91, P241\nBOSCHMA R., 2011, DYNAMIC GEOGRAPHIES, P64\nFrenken K, 2007, J ECON GEOGR, V7, P635, DOI 10.1093/jeg/lbm018\nChinitz B. J., 1961, AM ECON REV, V51, P279\nDavid P., 2009, MEASURING SMART SPEC\nDuranton G., 2004, HDB REGIONAL URBAN E, V4, P2063\nFaggian A, 2009, ELGAR ORIG REF, P133\nFrenken K, 2007, REG STUD, V41, P685, DOI 10.1080/00343400601120296\nFujita M., 1999, SPATIAL EC CITIES RE\nHall B.H., 2011, SMART SPECIALIZATION\nKRUGMAN P, 1995, Q J ECON, V110, P857, DOI 10.2307/2946642\nMameli F, 2008, SPAT ECON ANAL, V3, P343, DOI 10.1080/17421770802353030\nMameli F, 2014, REG STUD, V48, P1813, DOI 10.1080/00343404.2012.756578\nMcCann P, 1998, REG STUD, V32, P435\nMcCann P, 2011, REG STUD, V45, P17, DOI 10.1080/00343404.2010.505915\nMcCann P, 2013, INT REGIONAL SCI REV, V36, DOI 10.1177/0160017612463234\nMcCann P., 2007, SPAT ECON ANAL, V2, P117, DOI 10.1080/17421770701346622\nMcCann P., 1997, REG STUD, V31, P697\nOECD, 2011, REG GLANC 2011\nOECD, 2012, PROM GROWTH ALL REG\nOECD, 2011, REG INN POL\nOECD, 2009, REG MATT EC REC INN\nOECD Organisation of Economic Co-operation and Development, 2009, HOW REG GROW\nOrganisation for Economic Co-operation and Development (OECD), 2012, SYNTH REP I IN PRESS\nOrtega-Argiles R., 2011, IZA DISCUSSION PAPER, V5586\nOrtega-Argiles R, 2012, J ECON SURV, V26, P395, DOI 10.1111/j.1467-6419.2012.00725.x\nRodrik D., 2004, WORKING PAPER\nSassen Saskia, 2002, GLOBAL NETWORKS LINK\nSoete L, 2009, EUROPEAN SCIENCE AND TECHNOLOGY POLICY: TOWARD INTEGRATION OR FRAGMENTATION?, P312\nSoete L, 2009, NEW EC TECHNOLOGY PO, P401\nSternberg R, 2012, HDB RES ENTREPRENEUR, P33\nTrajtenberg M, 2009, NEW EC TECHNOLOGY PO, P409\nVan Oort FG, 2004, URBAN GROWTH INNOVAT\nWessner C. W., 2008, ASSESSMENT SMALL BUS\nMccann, Philip Ortega-Argiles, Raquel\nMcCann, Philip/C-6307-2013\nMcCann, Philip/0000-0003-0389-0654\n14\n35\n45\nRoutledge journals, taylor &amp;amp; francis ltd\nAbingdon\n1360-0591\nSi", "page" : "1291-1302", "title" : "Smart Specialization, Regional Growth and Applications to European Union Cohesion Policy", "type" : "article-journal", "volume" : "49" }, "uris" : [ "http://www.mendeley.com/documents/?uuid=08ef2c52-f695-498e-be16-c1c1c3b656ef" ] } ], "mendeley" : { "formattedCitation" : "(McCann and Ortega-Argiles, 2015)", "manualFormatting" : "McCann and Ortega-Argiles, 2015)", "plainTextFormattedCitation" : "(McCann and Ortega-Argiles, 2015)", "previouslyFormattedCitation" : "(McCann and Ortega-Argiles, 2015)"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McCann and Ortega-Argiles, 2015)</w:t>
      </w:r>
      <w:r w:rsidRPr="00B044E4">
        <w:rPr>
          <w:rFonts w:ascii="Cambria" w:hAnsi="Cambria" w:cs="Times New Roman"/>
        </w:rPr>
        <w:fldChar w:fldCharType="end"/>
      </w:r>
      <w:r w:rsidRPr="00B044E4">
        <w:rPr>
          <w:rFonts w:ascii="Cambria" w:hAnsi="Cambria" w:cs="Times New Roman"/>
        </w:rPr>
        <w:t xml:space="preserve">. For </w:t>
      </w:r>
      <w:r w:rsidR="000006E9" w:rsidRPr="00B044E4">
        <w:rPr>
          <w:rFonts w:ascii="Cambria" w:hAnsi="Cambria" w:cs="Times New Roman"/>
        </w:rPr>
        <w:t xml:space="preserve">all the 2010 </w:t>
      </w:r>
      <w:r w:rsidRPr="00B044E4">
        <w:rPr>
          <w:rFonts w:ascii="Cambria" w:hAnsi="Cambria" w:cs="Times New Roman"/>
        </w:rPr>
        <w:t>decade, RIS3 has received impressive attention</w:t>
      </w:r>
      <w:r w:rsidR="000006E9" w:rsidRPr="00B044E4">
        <w:rPr>
          <w:rFonts w:ascii="Cambria" w:hAnsi="Cambria" w:cs="Times New Roman"/>
        </w:rPr>
        <w:t>,</w:t>
      </w:r>
      <w:r w:rsidRPr="00B044E4">
        <w:rPr>
          <w:rFonts w:ascii="Cambria" w:hAnsi="Cambria" w:cs="Times New Roman"/>
        </w:rPr>
        <w:t xml:space="preserve"> not only by academics but also by European policy makers </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"author" : [ { "dropping-particle" : "", "family" : "Landabaso", "given" : "M.", "non-dropping-particle" : "", "parse-names" : false, "suffix" : "" }, { "dropping-particle" : "", "family" : "Mouton", "given" : "B.", "non-dropping-particle" : "", "parse-names" : false, "suffix" : "" } ], "container-title" : "Regional Development and Conditions for Innovation in the Network Society", "editor" : [ { "dropping-particle" : "", "family" : "in Heitor", "given" : "M.", "non-dropping-particle" : "", "parse-names" : false, "suffix" : "" } ], "id" : "ITEM-1", "issued" : { "date-parts" : [ [ "2005" ] ] }, "page" : "209-240", "publisher" : "Purdue University Press, West Lafayette, IN", "title" : "Towards a different regional innovation policy: 8 years of European experience through the European regional development fund innovative actions", "type" : "chapter" }, "uris" : [ "http://www.mendeley.com/documents/?uuid=4ccec108-ec9e-4aff-ae04-6874195405b0" ] } ], "mendeley" : { "formattedCitation" : "(Landabaso and Mouton, 2005)", "manualFormatting" : "(Landabaso and Mouton, 2005;", "plainTextFormattedCitation" : "(Landabaso and Mouton, 2005)", "previouslyFormattedCitation" : "(Landabaso and Mouton, 2005)"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(Landabaso and Mouton, 2005;</w:t>
      </w:r>
      <w:r w:rsidRPr="00B044E4">
        <w:rPr>
          <w:rFonts w:ascii="Cambria" w:hAnsi="Cambria" w:cs="Times New Roman"/>
        </w:rPr>
        <w:fldChar w:fldCharType="end"/>
      </w:r>
      <w:r w:rsidRPr="00B044E4">
        <w:rPr>
          <w:rFonts w:ascii="Cambria" w:hAnsi="Cambria" w:cs="Times New Roman"/>
        </w:rPr>
        <w:t xml:space="preserve"> </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"DOI" : "10.1108/EJIM-05-2014-0052", "ISBN" : "EJIM-05-2014-0052.pdf", "ISSN" : "14601060", "PMID" : "42012058", "abstract" : "Purpose \u2013 The purpose of this paper is to show that the approaches to smart specialisation being adopted in different European Union (EU) regions are likely to be heavily shaped by the institutional and governance context, as well as the regional economic specifics. Along with the specific regional economic characteristics, these institutional variations mean that there is no single smart specialisation template or blueprint which can be transplanted onto every region. Rather, regions have to work within their own governance frameworks to find their best solutions. Design/methodology/approach \u2013 As evidence of this, the authors analyse the possibilities and challenges faced by four different sets of regional examples in the UK, the Netherlands, Belgium and Spain. Using OECD, EU and other official national documents and publications, the authors are able to explain the ways in which the governance set-ups vary enormously across these different arenas although they do share some certain common features with ...", "author" : [ { "dropping-particle" : "", "family" : "McCann", "given" : "Philip", "non-dropping-particle" : "", "parse-names" : false, "suffix" : "" }, { "dropping-particle" : "", "family" : "Ortega-Argil\u00e9s", "given" : "Raquel", "non-dropping-particle" : "", "parse-names" : false, "suffix" : "" } ], "container-title" : "European Journal of Innovation Management", "id" : "ITEM-1", "issue" : "4", "issued" : { "date-parts" : [ [ "2014" ] ] }, "page" : "409-427", "title" : "Smart specialisation in European regions: Issues of strategy, institutions and implementation", "type" : "article-journal", "volume" : "17" }, "uris" : [ "http://www.mendeley.com/documents/?uuid=d3d51ff0-3dc6-4e91-b6c0-2f19167a3c9d" ] } ], "mendeley" : { "formattedCitation" : "(McCann and Ortega-Argil\u00e9s, 2014)", "manualFormatting" : "McCann and Ortega-Argil\u00e9s, 2014)", "plainTextFormattedCitation" : "(McCann and Ortega-Argil\u00e9s, 2014)", "previouslyFormattedCitation" : "(McCann and Ortega-Argil\u00e9s, 2014)"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McCann and Ortega-Argilés, 2014)</w:t>
      </w:r>
      <w:r w:rsidRPr="00B044E4">
        <w:rPr>
          <w:rFonts w:ascii="Cambria" w:hAnsi="Cambria" w:cs="Times New Roman"/>
        </w:rPr>
        <w:fldChar w:fldCharType="end"/>
      </w:r>
      <w:r w:rsidRPr="00B044E4">
        <w:rPr>
          <w:rFonts w:ascii="Cambria" w:hAnsi="Cambria" w:cs="Times New Roman"/>
        </w:rPr>
        <w:t>.</w:t>
      </w:r>
    </w:p>
    <w:p w:rsidR="007A2A81" w:rsidRPr="00B044E4" w:rsidRDefault="007A2A81" w:rsidP="00CA379D">
      <w:pPr>
        <w:spacing w:after="0" w:line="240" w:lineRule="auto"/>
        <w:jc w:val="both"/>
        <w:rPr>
          <w:rFonts w:ascii="Cambria" w:hAnsi="Cambria" w:cs="Times New Roman"/>
        </w:rPr>
      </w:pPr>
    </w:p>
    <w:p w:rsidR="00CB1382" w:rsidRPr="00B044E4" w:rsidRDefault="00CB1382" w:rsidP="00CA379D">
      <w:pPr>
        <w:spacing w:after="0" w:line="240" w:lineRule="auto"/>
        <w:jc w:val="both"/>
        <w:rPr>
          <w:rFonts w:ascii="Cambria" w:hAnsi="Cambria" w:cs="Times New Roman"/>
        </w:rPr>
      </w:pPr>
      <w:r w:rsidRPr="00B044E4">
        <w:rPr>
          <w:rFonts w:ascii="Cambria" w:hAnsi="Cambria" w:cs="Times New Roman"/>
        </w:rPr>
        <w:t xml:space="preserve">Intensively discussed, the basic principle of smart specialisation is that European regions </w:t>
      </w:r>
      <w:r w:rsidR="000006E9" w:rsidRPr="00B044E4">
        <w:rPr>
          <w:rFonts w:ascii="Cambria" w:hAnsi="Cambria" w:cs="Times New Roman"/>
        </w:rPr>
        <w:t xml:space="preserve">should </w:t>
      </w:r>
      <w:r w:rsidRPr="00B044E4">
        <w:rPr>
          <w:rFonts w:ascii="Cambria" w:hAnsi="Cambria" w:cs="Times New Roman"/>
        </w:rPr>
        <w:t xml:space="preserve">aim at exploring and exploiting key capabilities for niche markets with the intention to create long term competitive advantages </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"DOI" : "10.1108/EJIM-09-2014-0096", "ISBN" : "14601060 (ISSN)", "abstract" : "Purpose \u2013 The purpose of this paper is to focus on the distinction between smart specialisation and smart specialisation policy and it studies under what conditions a smart specialisation policy is necessary. Design/methodology/approach \u2013 A conceptual framework is built based on historical evidence of successful dynamics of structural changes at regional level qualified as \u201csmart specialisation\u201d. The identification of market and coordination failures that are likely to impede the occurrence of spontaneous process of smart specialisation makes a good case for a smart specialisation policy. Findings \u2013 The paper highlights important design principles for the policy process that should help to minimise potential risks of policy failures and policy capture. Research limitations/implications \u2013 The paper does assess the effect of smart specialisation on innovation and growth at regional level because it is too early to observe and measure effects. The paper confines itself to conjectures about the effects of such a policy. Practical implications \u2013 The paper makes recommendations and explains some of the practicalities about the implementation of the policy at regional level. Originality/value \u2013 The paper is one of the first dealing with the topic of smart specialisation policy. \u00a9 Emerald Group Publishing Limited.", "author" : [ { "dropping-particle" : "", "family" : "Foray", "given" : "D", "non-dropping-particle" : "", "parse-names" : false, "suffix" : "" } ], "container-title" : "European Journal of Innovation Management", "genre" : "Journal Article", "id" : "ITEM-1", "issue" : "4", "issued" : { "date-parts" : [ [ "2014" ] ] }, "language" : "English", "note" : "Export Date: 14 March 2016\nCorrespondence Address: Foray, D.; College of Management, Ecole Polytechnique F\u00e9d\u00e9rale de LausanneSwitzerland\nReferences: Aghion, P., Innovation process and policy: What do we learn from new growth theory? (2012) The Rate and Direction of Inventive Activity Revisited, , Lerner, J. and Stern, S. (Eds), The University of Chicago Press, NBER, Chicago, IL; Aghion, P., Boulanger, J., Cohen, E., (2011) Rethinking Industrial Policy, (4). , Bruegel, Policy Brief; Agrawal, A., Cockburn, I., University research, industrial R&amp;amp;D and the anchor tenant hypothesis (2003) International Journal of Industrial Organization, 21 (9), pp. 1417-1433; Agrawal, A., Cockburn, I., Oettl, A., (2010) Why are some regions more innovative than others? The role of firm size diversity?, (17793). , NBER Working Paper; Arrow, K., Economic welfare and the allocation of resources for invention (1962) The Rate and Direction of Inventive Activity: Economic and Social Factors, , Nelson, R. (Ed.), Princeton University Press, Princeton, NJ; Bailey, D., McNeil, S., (2009) The rover task force: A case study in proactive and reactive policy intervention?, , Draft; Berger, S., (2013) Making in America-from Innovation to Market, , MIT Press, Cambridge, MA; Boschma, R., Frenken, K., Technological relatedness and regional branching (2009) Dynamic Geographies of Knowledge Creation and Innovation, , Bathelt, H., Feldman, M. and Kogler, D. (Eds), Routledge (forthcoming); Bresnahan, T., Generality, recombination and reuse (2012) The Rate and Direction of Inventive Activity Revisited, , Lerner, J. and Stern, S. (Eds), The University of Chicago Press, NBER, Chicago, IL; Dasgupta, P., The welfare economics of knowledge production (1988) Oxford Review of Economic Policy, 4 (4), pp. 1-12; Foray, D., (2004) The Economics of Knowledge, , MIT Press, Cambridge, MA; Foray, D., Structuring a policy response to a 'grand challenge' (2009) Knowledge for Growth: Prospects for Science, Technology and Innovation, , Report, EUR 24047, European Union; Foray, D., David, P.A., Hall, B., Smart specialisation: The concept (2009) Knowledge for Growth: Prospects for Science, Technology and Innovation, , Report, EUR 24047, European Union; Foray, D., Mowery, D.C., Nelson, R.R., Public R&amp;amp;D and social challenges: What lessons from mission R&amp;amp;D programs? (2012) Research Policy, 41 (10), pp. 1697-1702; Frenken, K., Van Oort, F., Verburg, T., Related variety, unrelated variety and regional economic growth (2007) Regional Studies, 41 (5), pp. 685-697; Hall, B., Lerner, J., Financing R&amp;amp;D and innovation (2010) Handbook in Economics of Innovation, 1. , Hall, B. and Rosenberg, N. (Eds), North-Holland, Amsterdam; Hausmann, R., Rodrik, D., Economic development as self-discovery (2003) Journal of Development Economics, 72, pp. 603-633. , December; Hirshleifer, J., The private and social value of information and the reward to inventive activity (1971) American Economic Review, pp. 561-574. , September; Houssel, A., Houssel, J.P., L'\u00e9volution de la fabrique lyonnaise de soieries (1992) Revue de G\u00e9ographie de Lyon, 67 (3), pp. 187-198; Krueger, A., Comments (2012) New Structural Economics, , Yifu Lin, J. (Ed.), TheWorld Bank, Washington, DC; Landabaso, M., (2013) Time for the real economy: Innovative strategies for smart specialisation and the need for new forms of public enterprise, , Draft; Machlup, F., (1984) Knowledge, its Creation, Distribution and Economic Significance, , Vol. III, Princeton University Press, Princeton, NJ; Minkler, A., The problem with dispersed knowledge: Firms in theory and practice (1993) KYKLOS, 46, pp. 569-587; Muscio, A., Rivera Leon, L., Reid, A., (2013) Can smart specialisation help overcome the regional innovation paradox?, , Conference on the New Structural Economics, UCL-SSEES, London, June; Navarro, M., Aranguren, M.J., Magro Montero, E., Smart specialisation strategies: The case of Basque country (2011) Orkestra WPseries, , R07; Neffke, F., Henning, M., Boschma, R., How do regions diversify over time? Industry relatedness and the development of new growth paths in regions (2009) Papers in Evolutionary Economic Geography, , 9-16, Utrecht University; Nelson, R.R., The simple economics of basic scientific research (1959) Journal of Political Economy, 49, pp. 279-306; Nikulainen, T., Open innovation and nanotechnology: An opportunity for traditional industries (2008) VISION Era. net, , April; Percoco, M., Strategies of regional development in European regions: Are they efficient? (2013) Cambridge Journal of Regions, Economy and Society, 6, pp. 303-318; Phelps, E.S., (2013) Mass Flourishing, , Princeton University Press, Princeton, NJ; Rodrik, D., (2004) Industrial policy for the twenty-first century, (4767). , Discussion Paper Series, CEPR, November; Rodrik, D., (2007) Normalizing Industrial Policy, , paper prepared for the Commission on Growth and Development, September; Rodrik, D., (2013) Green Industrial Policy, , School of Social Science, IAS, Princeton, NJ; Romer, P., Implementing a national technology strategy with self-organizing industry investment boards (1993) Brookings Papers: Microeconomics, 2, pp. 345-399; Sabel, C., (2004) Beyond Principal-Agent Governance: Experimentalist Organizations, Learning and Accountability, , WRR-Wetenschappelijke Raad Voor Het Regeringsbeleid, Amsterdam, July; Sopas, L., (2001) The Portuguese Mould Industry and Plastic Clusters, , 1st meeting of the Portuguese session of the Society of Plastic Engineers, Marinha Grande; Trajtenberg, M., Government support for commercial R&amp;amp;D: Lessons from the Israeli experience (2002) Innovation Policy and the Economy, 2, pp. 79-134; Trajtenberg, M., Can the Nelson-arrow paradigm still be the beacon of innovation policy? (2012) The Rate and Direction of Inventive Activity Revisited, , Lerner, J. and Stern, S. (Eds), The University of Chicago Press, NBER, Chicago, IL; Veugelers, R., Mrak, M., Catching-up member states and the knowledge economy of the European Union (2009) Knowledge for Growth: Prospects for Science, Technology and Innovation, , Report, EUR 24047, European Union", "page" : "492-507", "publisher" : "Emerald Group Publishing Ltd.", "title" : "From smart specialisation to smart specialisation policy", "type" : "article-journal", "volume" : "17" }, "uris" : [ "http://www.mendeley.com/documents/?uuid=6c72d96c-c223-4613-ba45-de892f1dd4c6" ] }, { "id" : "ITEM-2", "itemData" : { "author" : [ { "dropping-particle" : "", "family" : "Reid", "given" : "Alasdair", "non-dropping-particle" : "", "parse-names" : false, "suffix" : "" }, { "dropping-particle" : "", "family" : "Maroulis", "given" : "Nikos", "non-dropping-particle" : "", "parse-names" : false, "suffix" : "" } ], "container-title" : "Advances in the Theory and Practice of Smart Specialization", "genre" : "CHAP", "id" : "ITEM-2", "issued" : { "date-parts" : [ [ "2017" ] ] }, "page" : "293-318", "publisher" : "Academic Press", "title" : "From Strategy to Implementation: The Real Challenge for Smart Specialization Policy", "type" : "chapter" }, "uris" : [ "http://www.mendeley.com/documents/?uuid=71bba8f5-133e-4d18-aa33-a22b02a61df3" ] } ], "mendeley" : { "formattedCitation" : "(D Foray, 2014; Reid and Maroulis, 2017)", "manualFormatting" : "(Foray, 2014; Reid and Maroulis, 2017", "plainTextFormattedCitation" : "(D Foray, 2014; Reid and Maroulis, 2017)", "previouslyFormattedCitation" : "(D Foray, 2014; Reid and Maroulis, 2017)"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(Foray, 2014; Reid and Maroulis, 2017</w:t>
      </w:r>
      <w:r w:rsidRPr="00B044E4">
        <w:rPr>
          <w:rFonts w:ascii="Cambria" w:hAnsi="Cambria" w:cs="Times New Roman"/>
        </w:rPr>
        <w:fldChar w:fldCharType="end"/>
      </w:r>
      <w:r w:rsidRPr="00B044E4">
        <w:rPr>
          <w:rFonts w:ascii="Cambria" w:hAnsi="Cambria" w:cs="Times New Roman"/>
        </w:rPr>
        <w:t xml:space="preserve">; </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"DOI" : "10.1504/IJKBD.2017.086407", "ISSN" : "20404468", "abstract" : "Copyright \u00a9 2017 Inderscience Enterprises Ltd. The aim of this paper is to present an overview of the applied research methods that have been used to examine smart specialisation. For this review, papers from various sources were collected and reviewed multiple times. The findings show that only a few papers applied mixed research methods. Primarily, there are more qualitative than quantitative methods used among papers concerning smart specialisation. More efforts to use mixed methods in smart specialisation could yield findings that are applicable to knowledge-based policymaking. To further illuminate the research discipline of smart specialisation, applying advanced, quantitative research techniques would enrich future efforts of all quadruple helix stakeholders engaged in smart specialisation.", "author" : [ { "dropping-particle" : "", "family" : "Fellnhofer", "given" : "K.", "non-dropping-particle" : "", "parse-names" : false, "suffix" : "" } ], "container-title" : "International Journal of Knowledge-Based Development", "id" : "ITEM-1", "issue" : "3", "issued" : { "date-parts" : [ [ "2017" ] ] }, "title" : "Evidence revisited: Literature on smart specialisation calls for more mixed research designs", "type" : "article-journal", "volume" : "8" }, "uris" : [ "http://www.mendeley.com/documents/?uuid=2169b815-c0ef-3688-ade3-61a95ee57be3" ] } ], "mendeley" : { "formattedCitation" : "(Fellnhofer, 2017)", "manualFormatting" : "Fellnhofer, 2017)", "plainTextFormattedCitation" : "(Fellnhofer, 2017)", "previouslyFormattedCitation" : "(Fellnhofer, 2017)"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Fellnhofer, 2017)</w:t>
      </w:r>
      <w:r w:rsidRPr="00B044E4">
        <w:rPr>
          <w:rFonts w:ascii="Cambria" w:hAnsi="Cambria" w:cs="Times New Roman"/>
        </w:rPr>
        <w:fldChar w:fldCharType="end"/>
      </w:r>
      <w:r w:rsidRPr="00B044E4">
        <w:rPr>
          <w:rFonts w:ascii="Cambria" w:hAnsi="Cambria" w:cs="Times New Roman"/>
        </w:rPr>
        <w:t xml:space="preserve">. Thus, the overall objective of RIS3 is to create innovative but </w:t>
      </w:r>
      <w:r w:rsidR="000006E9" w:rsidRPr="00B044E4">
        <w:rPr>
          <w:rFonts w:ascii="Cambria" w:hAnsi="Cambria" w:cs="Times New Roman"/>
        </w:rPr>
        <w:t xml:space="preserve">place specific capabilities </w:t>
      </w:r>
      <w:r w:rsidRPr="00B044E4">
        <w:rPr>
          <w:rFonts w:ascii="Cambria" w:hAnsi="Cambria" w:cs="Times New Roman"/>
        </w:rPr>
        <w:t xml:space="preserve">which take advantage of available resources and competences within a process of diversification and transformation </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"DOI" : "10.1108/EJIM-09-2014-0096", "ISBN" : "0520140052", "ISSN" : "14601060", "PMID" : "42012058", "abstract" : "Purpose \u2013 The purpose of this paper is to focus on the distinction between smart specialisation and smart specialisation policy and it studies under what conditions a smart specialisation policy is necessary. Design/methodology/approach \u2013 A conceptual framework is built based on historical evidence of successful dynamics of structural changes at regional level qualified as \u201csmart specialisation\u201d. The identification of market and coordination failures that are likely to impede the occurrence of spontaneous process of smart specialisation makes a good case for a smart specialisation policy. Findings \u2013 The paper highlights important design principles for the policy process that should help to minimise potential risks of policy failures and policy capture. Research limitations/implications \u2013 The paper does assess the effect of smart specialisation on innovation and growth at regional level because it is too early to observe and measure effects. The paper confines itself to conjectures about the effects of such a policy. Practical implications \u2013 The paper makes recommendations and explains some of the practicalities about the implementation of the policy at regional level. Originality/value \u2013 The paper is one of the first dealing with the topic of smart specialisation policy.", "author" : [ { "dropping-particle" : "", "family" : "Foray", "given" : "Dominique", "non-dropping-particle" : "", "parse-names" : false, "suffix" : "" } ], "container-title" : "European Journal of Innovation Management", "id" : "ITEM-1", "issue" : "4", "issued" : { "date-parts" : [ [ "2014" ] ] }, "page" : "492-507", "title" : "From smart specialisation to smart specialisation policy", "type" : "article-journal", "volume" : "17" }, "uris" : [ "http://www.mendeley.com/documents/?uuid=8d7783da-5e95-4c8c-a0e3-f60820b1fa67" ] } ], "mendeley" : { "formattedCitation" : "(Dominique Foray, 2014)", "manualFormatting" : "(Foray, 2014)", "plainTextFormattedCitation" : "(Dominique Foray, 2014)", "previouslyFormattedCitation" : "(Dominique Foray, 2014)"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(Foray, 2014)</w:t>
      </w:r>
      <w:r w:rsidRPr="00B044E4">
        <w:rPr>
          <w:rFonts w:ascii="Cambria" w:hAnsi="Cambria" w:cs="Times New Roman"/>
        </w:rPr>
        <w:fldChar w:fldCharType="end"/>
      </w:r>
      <w:r w:rsidRPr="00B044E4">
        <w:rPr>
          <w:rFonts w:ascii="Cambria" w:hAnsi="Cambria" w:cs="Times New Roman"/>
        </w:rPr>
        <w:t>. Following several guidelines</w:t>
      </w:r>
      <w:r w:rsidR="00125B00" w:rsidRPr="00B044E4">
        <w:rPr>
          <w:rFonts w:ascii="Cambria" w:hAnsi="Cambria" w:cs="Times New Roman"/>
        </w:rPr>
        <w:t>,</w:t>
      </w:r>
      <w:r w:rsidRPr="00B044E4">
        <w:rPr>
          <w:rFonts w:ascii="Cambria" w:hAnsi="Cambria" w:cs="Times New Roman"/>
        </w:rPr>
        <w:t xml:space="preserve"> </w:t>
      </w:r>
      <w:r w:rsidR="000006E9" w:rsidRPr="00B044E4">
        <w:rPr>
          <w:rFonts w:ascii="Cambria" w:hAnsi="Cambria" w:cs="Times New Roman"/>
        </w:rPr>
        <w:t>RIS3 promote</w:t>
      </w:r>
      <w:r w:rsidRPr="00B044E4">
        <w:rPr>
          <w:rFonts w:ascii="Cambria" w:hAnsi="Cambria" w:cs="Times New Roman"/>
        </w:rPr>
        <w:t xml:space="preserve"> greater diversity with sustainable multiple avenues of smart specialisation priorities. In particular, successful strategies are fostering cross-sectoral links and/or cross-border cooperation </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"DOI" : "10.1108/EJIM-10-2013-0113", "ISBN" : "14601060 (ISSN)", "abstract" : "Purpose \u2013 The purpose of this paper is to present a new methodology to assess the outward connectivity among regional economies in the European Union (EU) and derives policy lessons for the design of regional innovation and competitiveness-enhancing strategic frameworks, with particular reference to research and innovation strategies for smart specialisation (RIS3). Design/methodology/approach \u2013 The authors study the network of inter-regional trade flows in the EU25 in the year 2007. Trade data are taken from the PBL Netherlands Environmental Assessment Agency database and mapped onto weighted directed networks inwhich the nodes represent regions and the links are flows of goods. The authors measure several structural characteristics of the networks, both global properties and centrality indicators describing the position of individual regions within the system. Findings \u2013 European regions appear to be mostly integrated in the European single market. Strengths and weaknesses of individual regions are discussed based on rankings obtained from network centrality indicators. Specific policy implications in the context of RIS3 are derived in the case of the Spanish region of Andalusia. Practical implications \u2013 The authors show the potential of the methodology for providing a new family of indicators of the external connectivity of regional economies that can be used by regions wishing to develop their own RIS3 for 2014-2020, as required by the EU in the context of the new cohesion policy framework. Originality/value \u2013 The characteristics of a EU-wide inter-regional network of trade flows are obtained and thoroughly discussed for the first time. A unique and original instrument suitable for inter-regional comparison is developed and tested. \u00a9 Emerald Group Publishing Limited.", "author" : [ { "dropping-particle" : "", "family" : "Gianelle", "given" : "C", "non-dropping-particle" : "", "parse-names" : false, "suffix" : "" }, { "dropping-particle" : "", "family" : "Goenaga", "given" : "X", "non-dropping-particle" : "", "parse-names" : false, "suffix" : "" }, { "dropping-particle" : "", "family" : "V\u00e1zquez", "given" : "I G", "non-dropping-particle" : "", "parse-names" : false, "suffix" : "" }, { "dropping-particle" : "", "family" : "Thissen", "given" : "M", "non-dropping-particle" : "", "parse-names" : false, "suffix" : "" } ], "container-title" : "European Journal of Innovation Management", "genre" : "Journal Article", "id" : "ITEM-1", "issue" : "4", "issued" : { "date-parts" : [ [ "2014" ] ] }, "language" : "English", "note" : "Cited By :1\nExport Date: 14 March 2016\nCorrespondence Address: Gianelle, C.; Institute for Prospective Technological Studies (IPTS), Joint Research Centre (JRC), European CommissionSpain\nReferences: Ajmone Marsan, G., Primi, A., (2012) Tell me who you patent with and I'll tell you who you are-evidence from inter-regional patenting networks in three emerging technological fields, (2012). , OECD Regional Development Working Paper/03, OECD, Paris, 20 March; Asheim, B., Coenen, L., Contextualising regional innovation systems in a globalising learning economy: On knowledge bases and institutional frameworks (2006) Journal of Technology Transfer, 31 (1), pp. 163-173; Benneworth, P., Dassen, A., (2011) Strengthening global-regional connectivity in regional innovation strategies: Implications for regional innovation policy, (2011). , OECD Regional Development Working Paper/01, OECD, Paris, 1 May; Boccaletti, S., Latora, V., Moreno, Y., Chavez, M., Hwang, D.U., Complex networks: Structure and dynamics (2006) Physics Reports, 424 (4-5), pp. 175-308; Bollob\u00e1s, B., (1985) Random Graphs, , Academic Press, Orlando, FL; Boschma, R.A., Gianelle, C., (2013) Regional branching and smart specialization policy, , S3 Policy Brief, JRC-IPTS, Seville (forthcoming); Chen, D.H.C., Dahlman, C.J., (2005) The knowledge economy, the KAM methodology and world bank operations, (37256). , Working Paper, World Bank Institute, Washington, DC, 19 October; Chen, N., Intra-national versus international trade in the European Union: Why do national borders matter? (2004) Journal of International Economics, 63 (1), pp. 93-118; Dunning, J., (2000) Regions, Globalization and the Knowledge-Based Economy, , Oxford University Press, Oxford; European Commission, (2010) Europe 2020. A strategy for smart, sustainable and inclusive growth, , Communication COM (2010) 2020, European Commission, Bruxelles, 3 March; European Commission, (2010) Regional policy contributing to smart growth in EUROPE, , Communication COM (2010) 553, European Commission, Bruxelles, 6 October; European Commission, (2012) Guide to Regional/National Research and Innovation Strategies for Smart Specialisation (RIS3), , European Commission, Bruxelles; European Commission, (2012) Regional Innovation Scoreboard, , European Commission, Bruxelles; European Commission, (2013) Innovation Union Scoreboard, , European Commission, Bruxelles; Foray, D., Van Ark, B., (2007) Smart specialisation in a truly integrated research area is the key to attracting more R&amp;amp;D to Europe, (1). , Knowledge for Growth Expert Group Policy Brief, European Commission, Bruxelles, October; Foray, D., David, P.A., Hall, B., (2009) Smart specialisation-the concept, (9). , Knowledge for Growth Expert Group Policy Brief, European Commission, Bruxelles, June; Foray, D., Goenaga, X., (2013) The goals of smart specialisation, (1). , S3 Policy Brief/2013, JRC-IPTS, Seville, May; Foray, D., Rainoldi, A., (2013) Smart specialisation programmes and implementation, (2). , S3 Policy Brief/2013, JRC-IPTS, Seville, May; Frenken, K., van Oort, F.G., Verburg, T., Related variety, unrelated variety and regional economic growth (2007) Regional Studies, 41 (5), pp. 685-697; Gianelle, C., Discovering the regional small world of labour mobility. Evidence from linked employer-employee data (2012) Regional Studies, pp. 1-16. , iFirst; Junta de Andaluc\u00eda, (2007) Plan Andaluz de Investigaci\u00f3n, Desarrollo e Innovaci\u00f3n 2007-2013 (PAIDI), , Decree 86/2007, Junta de Andaluc\u00eda, Seville, 27 March; McCann, P., Ortega-Argil\u00e9s, R., Smart specialisation, regional growth, and applications to EU cohesion policy (2013) Regional Studies, pp. 1-12. , iFirst; OECD, (2011) Science, Technology and Industry Scoreboard 2011, , OECD Publishing, Paris; OECD, (2011) Regions and Innovation Policy, , OECD Publishing, Paris; OECD, (2013) Draft Synthesis Report on Innovation Driven-Growth in Regions: The Role of Smart Specialisation, , OECD Publishing, Paris (forthcoming); OECD, (2013) Interconnected Economies: Benefitting from Global Value Chains, , OECD Publishing, Paris; Opsahl, T., Agneessens, F., Skvoretz, J., Node centrality in weighted networks: Generalizing degree and shortest paths (2010) Social Networks, 32 (3), pp. 245-251; Simini, F., Gonz\u00e1lez, M.C., Maritan, A., Barab\u00e1si, A., A universal model for mobility and migration patterns (2012) Nature, 484, pp. 96-100; Thissen, M., Diodato, D., Van Oort, F.G., (2013) Integrated regional Europe: European regional trade flows in 2000, (1035). , Working Paper, PBL Netherlands Environmental Assessment Agency, The Hague, 20 June; Thissen, M., Diodato, D., Van Oort, F.G., (2013) European regional trade flows: An update for 2000-2010, (1036). , Working Paper, PBL Netherlands Environmental Assessment Agency, The Hague, 20 June; Thissen, M., Van Oort, F.G., Diodato, D., Ruijs, A., (2013) European Regional Competitiveness and Smart Specialization; Regional Place-Based Development Perspectives in International Economic Networks, , Edward Elgar, Cheltenham (forthcoming); Walendowski, J., Wintjes, R., Kroll, H., Markianidou, P., Hollanders, H., Stahlecker, T., (2010) Regional Innovation Monitor-2012: Credible Actions Key to Regions' Future Innovation Performance, , European Commission, Bruxelles; Wasserman, S., Faust, K., (1994) Social Network Analysis: Methods and Applications, , Cambridge University Press, Cambridge, MA; Watts, D.J., Strogatz, S.H., Collective dynamics of 'small-world' networks (1998) Nature, 393, pp. 440-442; White, D.R., Houseman, M., The navigability of strong ties: Small worlds, tie strength and network topology (2002) Complexity, 8 (1), pp. 72-81; World Economic Forum, (2012) The Global Competitive Report 2012-2013, , World Economic Forum, Geneva; Rodrik, D., (2004) Industrial policy for the twenty-first century, (4767). , Working Paper, Centre for Economic Policy Research (CEPR), London, November", "page" : "472-491", "publisher" : "Emerald Group Publishing Ltd.", "title" : "Smart specialisation in the tangled web of European inter-regional trade", "type" : "article-journal", "volume" : "17" }, "uris" : [ "http://www.mendeley.com/documents/?uuid=75d34dc2-ab25-44f8-a782-e7835b8e2bbd" ] } ], "mendeley" : { "formattedCitation" : "(Gianelle et al., 2014)", "manualFormatting" : "(Gianelle et al., 2014", "plainTextFormattedCitation" : "(Gianelle et al., 2014)", "previouslyFormattedCitation" : "(Gianelle et al., 2014)"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(Gianelle et al., 2014</w:t>
      </w:r>
      <w:r w:rsidRPr="00B044E4">
        <w:rPr>
          <w:rFonts w:ascii="Cambria" w:hAnsi="Cambria" w:cs="Times New Roman"/>
        </w:rPr>
        <w:fldChar w:fldCharType="end"/>
      </w:r>
      <w:r w:rsidRPr="00B044E4">
        <w:rPr>
          <w:rFonts w:ascii="Cambria" w:hAnsi="Cambria" w:cs="Times New Roman"/>
        </w:rPr>
        <w:t xml:space="preserve">; </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"author" : [ { "dropping-particle" : "", "family" : "L\u00e4mmer-Gamp", "given" : "Thomas", "non-dropping-particle" : "", "parse-names" : false, "suffix" : "" }, { "dropping-particle" : "", "family" : "zu K\u00f6cker", "given" : "Gerd Meier", "non-dropping-particle" : "", "parse-names" : false, "suffix" : "" }, { "dropping-particle" : "", "family" : "Nerger", "given" : "Michael", "non-dropping-particle" : "", "parse-names" : false, "suffix" : "" } ], "container-title" : "En ligne sur le site web de la Commission Europ\u00e9enne http://ec. europa. eu/enterprise/initiatives/cluster/observatory/2014-10-10-eco-report-d4", "genre" : "JOUR", "id" : "ITEM-1", "issued" : { "date-parts" : [ [ "2014" ] ] }, "title" : "Cluster Collaboration and Business Support Tools to Facilitate Entrepreneurship, Cross-sectoral Collaboration and Growth", "type" : "article-journal", "volume" : "1" }, "uris" : [ "http://www.mendeley.com/documents/?uuid=7ce395e4-7664-4785-9fc8-d659299d9a91" ] } ], "mendeley" : { "formattedCitation" : "(L\u00e4mmer-Gamp et al., 2014)", "manualFormatting" : "L\u00e4mmer-Gamp et al., 2014)", "plainTextFormattedCitation" : "(L\u00e4mmer-Gamp et al., 2014)", "previouslyFormattedCitation" : "(L\u00e4mmer-Gamp et al., 2014)"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Lämmer-Gamp et al., 2014)</w:t>
      </w:r>
      <w:r w:rsidRPr="00B044E4">
        <w:rPr>
          <w:rFonts w:ascii="Cambria" w:hAnsi="Cambria" w:cs="Times New Roman"/>
        </w:rPr>
        <w:fldChar w:fldCharType="end"/>
      </w:r>
      <w:r w:rsidRPr="00B044E4">
        <w:rPr>
          <w:rFonts w:ascii="Cambria" w:hAnsi="Cambria" w:cs="Times New Roman"/>
        </w:rPr>
        <w:t>.</w:t>
      </w:r>
    </w:p>
    <w:p w:rsidR="007A2A81" w:rsidRPr="00B044E4" w:rsidRDefault="007A2A81" w:rsidP="00CA379D">
      <w:pPr>
        <w:spacing w:after="0" w:line="240" w:lineRule="auto"/>
        <w:jc w:val="both"/>
        <w:rPr>
          <w:rFonts w:ascii="Cambria" w:hAnsi="Cambria" w:cs="Times New Roman"/>
        </w:rPr>
      </w:pPr>
    </w:p>
    <w:p w:rsidR="00CB1382" w:rsidRPr="00B044E4" w:rsidRDefault="00CB1382" w:rsidP="00CA379D">
      <w:pPr>
        <w:spacing w:after="0" w:line="240" w:lineRule="auto"/>
        <w:jc w:val="both"/>
        <w:rPr>
          <w:rFonts w:ascii="Cambria" w:hAnsi="Cambria" w:cs="Times New Roman"/>
        </w:rPr>
      </w:pPr>
      <w:r w:rsidRPr="00B044E4">
        <w:rPr>
          <w:rFonts w:ascii="Cambria" w:hAnsi="Cambria" w:cs="Times New Roman"/>
        </w:rPr>
        <w:t xml:space="preserve">As illustrated in Figure 1 RIS3 is a 'smart' concept for following key elements </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"DOI" : "10.1108/EJIM-08-2014-0093", "ISBN" : "14601060 (ISSN)", "abstract" : "Purpose \u2013 This Special Issue of the European Journal of Innovation Management sheds new light on the burning issue of Research and Innovation Strategies for Smart Specialisation (RIS3), both in terms of their policy formulation and their practical implementation in the field. This new policy approach refers to the process of priority setting in national and regional research and innovation strategies in order to build \u201cplace-based\u201d competitive advantages and help regions and countries develop an innovation-driven economic transformation agenda. The paper aims to discuss these issues. Design/methodology/approach \u2013 This is an important topic both in the current debate about a new industrial policy for Europe and as a policy option for a successful crisis exit strategy led by public investments in the real economy. Moreover, smart specialisation is promoted by the European Commission as an ex ante conditionality for all regions in Europe to receive European Structural and Investment Funds in the field of innovation. Thus, it has become a pre-requisite for accessing fresh funds for investing in badly needed innovation-driven productivity growth throughout the European Union (EU). Findings \u2013 The six papers in this Special Issue are the fruit of ground-breaking research and policy testing by nearly 20 leading academics and policy makers throughout the EU. They explore the early smart specialisation concept and its further developments, examine the methodological tools at its disposal and advance specific policy proposals and governance considerations based on actual experimentation in the field. Originality/value \u2013 All these make the present Special Issue of the European Journal of Innovation Management an important research milestone. This Special Issue is the fruit of a call towards the European academic and research community to help shaping and advancing the smart specialisation concept and thus contribute to better position regions and countries in the global economy through innovation-driven policies. \u00a9 Emerald Group Publishing Limited.", "author" : [ { "dropping-particle" : "", "family" : "Landabaso", "given" : "M", "non-dropping-particle" : "", "parse-names" : false, "suffix" : "" } ], "container-title" : "European Journal of Innovation Management", "genre" : "Journal Article", "id" : "ITEM-1", "issue" : "4", "issued" : { "date-parts" : [ [ "2014" ] ] }, "language" : "English", "note" : "Cited By :2\nExport Date: 14 March 2016\nCorrespondence Address: Landabaso, M.; European CommissionBelgium\nReferences: Chang, H.-J., (2010) 23 Things They Don't Tell You About Capitalism, , Lane, A. (Ed., London, New York, NY; Foray, D., David, P.A., Hall, B., (2009) Smart specialisation-the concept, , http://ec.europa.eu/invest-in-research/pdf/download_en/kfg_policy_brief_no9.pdf?11111, Knowledge Economists Policy Brief no 9, June, European Commission, Knowledge for Growth Expert Group; Landabaso, M., Time for the real economy: The need for new forms of public entrepreneurship (2014) Scienze Regionali: Italian Journal of Regional Science, 13 (1), pp. 127-140. , www.ub.edu/irea/Seminari%202014/M.Landabaso.pdf; Mazzucato, M., (2013) The Entrepreneurial State: Debunking Public vs Private Sector Myths. The Entrepreneurial State, , Anthem Press, London; Morgan, K., Path dependence and the state: The politics of novelty in old industrial regions (2013) Re-Framing Regional Development: Evolution, Innovation and Transition, pp. 318-340. , Cooke, P. (Ed.), Routledge, Abingdon, Oxon; OECD, (2012) Working party on innovation and technology policy (TIP), draft synthesis report on innovation driven growth in regions: The role of smart specialisation, , http://wissenschaft.bmwfw.gv.at/fileadmin/user_upload/forschung/RIS3/OECD_TIP_S3_Synthesis_Report_2012.pdf, (accessed December 2012) OECD, Paris; Porter, M.E., Rivkin, J.W., The looming challenge to US. Competitiveness (2012) Harvard Business Review, 90 (3), pp. 54-61; Sachs, J., (2012) The Price of Civilization: Reawakening American Virtue and Prosperity, , Random House Trade Paperbacks, New York, NY; Sachs, J., (2013) Professor Krugman and crude Keynesianism, , www.huffingtonpost.com/jeffrey-sachs/professor-krugman-andcru_b_2845773.html, (accessed September 2013) The Huffington Post, 3 September", "page" : "378-389", "publisher" : "Emerald Group Publishing Ltd.", "title" : "Guest editorial on research and innovation strategies for smart specialisation in Europe: Theory and practice of new innovation policy approaches", "type" : "article-journal", "volume" : "17" }, "uris" : [ "http://www.mendeley.com/documents/?uuid=999090c1-9083-40fd-bf55-7bcb2e42e835" ] } ], "mendeley" : { "formattedCitation" : "(Landabaso, 2014)", "plainTextFormattedCitation" : "(Landabaso, 2014)", "previouslyFormattedCitation" : "(Landabaso, 2014)"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(Landabaso, 2014)</w:t>
      </w:r>
      <w:r w:rsidRPr="00B044E4">
        <w:rPr>
          <w:rFonts w:ascii="Cambria" w:hAnsi="Cambria" w:cs="Times New Roman"/>
        </w:rPr>
        <w:fldChar w:fldCharType="end"/>
      </w:r>
      <w:r w:rsidRPr="00B044E4">
        <w:rPr>
          <w:rFonts w:ascii="Cambria" w:hAnsi="Cambria" w:cs="Times New Roman"/>
        </w:rPr>
        <w:t>:</w:t>
      </w:r>
    </w:p>
    <w:p w:rsidR="00CB1382" w:rsidRPr="00B044E4" w:rsidRDefault="00CB1382" w:rsidP="00CA379D">
      <w:pPr>
        <w:pStyle w:val="ListParagraph"/>
        <w:numPr>
          <w:ilvl w:val="0"/>
          <w:numId w:val="21"/>
        </w:numPr>
        <w:jc w:val="both"/>
        <w:rPr>
          <w:rFonts w:ascii="Cambria" w:hAnsi="Cambria" w:cs="Times New Roman"/>
          <w:lang w:val="en-GB"/>
        </w:rPr>
      </w:pPr>
      <w:r w:rsidRPr="00B044E4">
        <w:rPr>
          <w:rFonts w:ascii="Cambria" w:hAnsi="Cambria" w:cs="Times New Roman"/>
          <w:lang w:val="en-GB"/>
        </w:rPr>
        <w:t>Creative linkages are built between research and innovation when applying entrepreneurial processes of discovery for economic-driven purposes. Policy makers focus on priorities in close cooperation with local stakeholders.</w:t>
      </w:r>
    </w:p>
    <w:p w:rsidR="00CB1382" w:rsidRPr="00B044E4" w:rsidRDefault="00CB1382" w:rsidP="00CA379D">
      <w:pPr>
        <w:pStyle w:val="ListParagraph"/>
        <w:numPr>
          <w:ilvl w:val="0"/>
          <w:numId w:val="21"/>
        </w:numPr>
        <w:jc w:val="both"/>
        <w:rPr>
          <w:rFonts w:ascii="Cambria" w:hAnsi="Cambria" w:cs="Times New Roman"/>
          <w:lang w:val="en-GB"/>
        </w:rPr>
      </w:pPr>
      <w:r w:rsidRPr="00B044E4">
        <w:rPr>
          <w:rFonts w:ascii="Cambria" w:hAnsi="Cambria" w:cs="Times New Roman"/>
          <w:lang w:val="en-GB"/>
        </w:rPr>
        <w:t xml:space="preserve">A place-based approach with a global ambition aims at exploring and exploiting local resources to generate competitive advantages for global demand. Stakeholders need to be ambitious visionaries but realistic leaders referring to their set objectives.  </w:t>
      </w:r>
    </w:p>
    <w:p w:rsidR="00CB1382" w:rsidRPr="00B044E4" w:rsidRDefault="00CB1382" w:rsidP="00CA379D">
      <w:pPr>
        <w:spacing w:after="0" w:line="240" w:lineRule="auto"/>
        <w:jc w:val="both"/>
        <w:rPr>
          <w:rFonts w:ascii="Cambria" w:hAnsi="Cambria" w:cs="Times New Roman"/>
          <w:color w:val="FF0000"/>
        </w:rPr>
      </w:pPr>
      <w:r w:rsidRPr="00B044E4">
        <w:rPr>
          <w:rFonts w:ascii="Cambria" w:hAnsi="Cambria" w:cs="Times New Roman"/>
          <w:noProof/>
          <w:color w:val="FF0000"/>
        </w:rPr>
        <w:drawing>
          <wp:inline distT="0" distB="0" distL="0" distR="0">
            <wp:extent cx="5579745" cy="1828800"/>
            <wp:effectExtent l="0" t="0" r="40005"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CB1382" w:rsidRPr="00B044E4" w:rsidRDefault="00CB1382" w:rsidP="00CA379D">
      <w:pPr>
        <w:pStyle w:val="Caption"/>
        <w:spacing w:after="0"/>
        <w:jc w:val="center"/>
        <w:rPr>
          <w:rFonts w:ascii="Cambria" w:hAnsi="Cambria" w:cs="Times New Roman"/>
          <w:b/>
          <w:color w:val="auto"/>
          <w:sz w:val="22"/>
          <w:szCs w:val="22"/>
        </w:rPr>
      </w:pPr>
      <w:r w:rsidRPr="00B044E4">
        <w:rPr>
          <w:rFonts w:ascii="Cambria" w:hAnsi="Cambria" w:cs="Times New Roman"/>
          <w:b/>
          <w:color w:val="auto"/>
          <w:sz w:val="22"/>
          <w:szCs w:val="22"/>
        </w:rPr>
        <w:t xml:space="preserve">Figure </w:t>
      </w:r>
      <w:r w:rsidRPr="00B044E4">
        <w:rPr>
          <w:rFonts w:ascii="Cambria" w:hAnsi="Cambria" w:cs="Times New Roman"/>
          <w:b/>
          <w:color w:val="auto"/>
          <w:sz w:val="22"/>
          <w:szCs w:val="22"/>
        </w:rPr>
        <w:fldChar w:fldCharType="begin"/>
      </w:r>
      <w:r w:rsidRPr="00B044E4">
        <w:rPr>
          <w:rFonts w:ascii="Cambria" w:hAnsi="Cambria" w:cs="Times New Roman"/>
          <w:b/>
          <w:color w:val="auto"/>
          <w:sz w:val="22"/>
          <w:szCs w:val="22"/>
        </w:rPr>
        <w:instrText xml:space="preserve"> SEQ Figure \* ARABIC </w:instrText>
      </w:r>
      <w:r w:rsidRPr="00B044E4">
        <w:rPr>
          <w:rFonts w:ascii="Cambria" w:hAnsi="Cambria" w:cs="Times New Roman"/>
          <w:b/>
          <w:color w:val="auto"/>
          <w:sz w:val="22"/>
          <w:szCs w:val="22"/>
        </w:rPr>
        <w:fldChar w:fldCharType="separate"/>
      </w:r>
      <w:r w:rsidR="006F5948">
        <w:rPr>
          <w:rFonts w:ascii="Cambria" w:hAnsi="Cambria" w:cs="Times New Roman"/>
          <w:b/>
          <w:noProof/>
          <w:color w:val="auto"/>
          <w:sz w:val="22"/>
          <w:szCs w:val="22"/>
        </w:rPr>
        <w:t>1</w:t>
      </w:r>
      <w:r w:rsidRPr="00B044E4">
        <w:rPr>
          <w:rFonts w:ascii="Cambria" w:hAnsi="Cambria" w:cs="Times New Roman"/>
          <w:b/>
          <w:color w:val="auto"/>
          <w:sz w:val="22"/>
          <w:szCs w:val="22"/>
        </w:rPr>
        <w:fldChar w:fldCharType="end"/>
      </w:r>
      <w:r w:rsidRPr="00B044E4">
        <w:rPr>
          <w:rFonts w:ascii="Cambria" w:hAnsi="Cambria" w:cs="Times New Roman"/>
          <w:b/>
          <w:color w:val="auto"/>
          <w:sz w:val="22"/>
          <w:szCs w:val="22"/>
        </w:rPr>
        <w:t xml:space="preserve"> Driving smart elements</w:t>
      </w:r>
    </w:p>
    <w:p w:rsidR="007A2A81" w:rsidRPr="00B044E4" w:rsidRDefault="007A2A81" w:rsidP="00CA379D">
      <w:pPr>
        <w:spacing w:after="0" w:line="240" w:lineRule="auto"/>
        <w:jc w:val="both"/>
        <w:rPr>
          <w:rFonts w:ascii="Cambria" w:hAnsi="Cambria" w:cs="Times New Roman"/>
        </w:rPr>
      </w:pPr>
    </w:p>
    <w:p w:rsidR="00CB1382" w:rsidRPr="00B044E4" w:rsidRDefault="00CB1382" w:rsidP="00CA379D">
      <w:pPr>
        <w:spacing w:after="0" w:line="240" w:lineRule="auto"/>
        <w:jc w:val="both"/>
        <w:rPr>
          <w:rFonts w:ascii="Cambria" w:hAnsi="Cambria" w:cs="Times New Roman"/>
        </w:rPr>
      </w:pPr>
      <w:r w:rsidRPr="00B044E4">
        <w:rPr>
          <w:rFonts w:ascii="Cambria" w:hAnsi="Cambria" w:cs="Times New Roman"/>
        </w:rPr>
        <w:lastRenderedPageBreak/>
        <w:t>The concept of smart specialisation encourages efficient and effective investments. Nations and regions are able to strengthen their innovation capacity and economic prospects in particular within a creative process of entrepreneurial discovery. Because of Europe’s diversity itself</w:t>
      </w:r>
      <w:r w:rsidR="000006E9" w:rsidRPr="00B044E4">
        <w:rPr>
          <w:rFonts w:ascii="Cambria" w:hAnsi="Cambria" w:cs="Times New Roman"/>
        </w:rPr>
        <w:t>,</w:t>
      </w:r>
      <w:r w:rsidRPr="00B044E4">
        <w:rPr>
          <w:rFonts w:ascii="Cambria" w:hAnsi="Cambria" w:cs="Times New Roman"/>
        </w:rPr>
        <w:t xml:space="preserve"> the policy paths in the framework of smart specialisation require a tailor-made case-by-case approach for each nation and region </w:t>
      </w:r>
      <w:r w:rsidR="000006E9" w:rsidRPr="00B044E4">
        <w:rPr>
          <w:rFonts w:ascii="Cambria" w:hAnsi="Cambria" w:cs="Times New Roman"/>
        </w:rPr>
        <w:t xml:space="preserve">rather than a ‘one-size-fits-all’ solution </w:t>
      </w:r>
      <w:r w:rsidRPr="00B044E4">
        <w:rPr>
          <w:rFonts w:ascii="Cambria" w:hAnsi="Cambria" w:cs="Times New Roman"/>
        </w:rPr>
        <w:t>(</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"DOI" : "10.1108/EJIM-05-2014-0052", "ISBN" : "EJIM-05-2014-0052.pdf", "ISSN" : "14601060", "PMID" : "42012058", "abstract" : "Purpose \u2013 The purpose of this paper is to show that the approaches to smart specialisation being adopted in different European Union (EU) regions are likely to be heavily shaped by the institutional and governance context, as well as the regional economic specifics. Along with the specific regional economic characteristics, these institutional variations mean that there is no single smart specialisation template or blueprint which can be transplanted onto every region. Rather, regions have to work within their own governance frameworks to find their best solutions. Design/methodology/approach \u2013 As evidence of this, the authors analyse the possibilities and challenges faced by four different sets of regional examples in the UK, the Netherlands, Belgium and Spain. Using OECD, EU and other official national documents and publications, the authors are able to explain the ways in which the governance set-ups vary enormously across these different arenas although they do share some certain common features with ...", "author" : [ { "dropping-particle" : "", "family" : "McCann", "given" : "Philip", "non-dropping-particle" : "", "parse-names" : false, "suffix" : "" }, { "dropping-particle" : "", "family" : "Ortega-Argil\u00e9s", "given" : "Raquel", "non-dropping-particle" : "", "parse-names" : false, "suffix" : "" } ], "container-title" : "European Journal of Innovation Management", "id" : "ITEM-1", "issue" : "4", "issued" : { "date-parts" : [ [ "2014" ] ] }, "page" : "409-427", "title" : "Smart specialisation in European regions: Issues of strategy, institutions and implementation", "type" : "article-journal", "volume" : "17" }, "uris" : [ "http://www.mendeley.com/documents/?uuid=d3d51ff0-3dc6-4e91-b6c0-2f19167a3c9d" ] } ], "mendeley" : { "formattedCitation" : "(McCann and Ortega-Argil\u00e9s, 2014)", "manualFormatting" : "McCann and Ortega-Argil\u00e9s, 2014)", "plainTextFormattedCitation" : "(McCann and Ortega-Argil\u00e9s, 2014)", "previouslyFormattedCitation" : "(McCann and Ortega-Argil\u00e9s, 2014)"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McCann and Ortega-Argilés, 2014)</w:t>
      </w:r>
      <w:r w:rsidRPr="00B044E4">
        <w:rPr>
          <w:rFonts w:ascii="Cambria" w:hAnsi="Cambria" w:cs="Times New Roman"/>
        </w:rPr>
        <w:fldChar w:fldCharType="end"/>
      </w:r>
      <w:r w:rsidRPr="00B044E4">
        <w:rPr>
          <w:rFonts w:ascii="Cambria" w:hAnsi="Cambria" w:cs="Times New Roman"/>
        </w:rPr>
        <w:t xml:space="preserve">. </w:t>
      </w:r>
    </w:p>
    <w:p w:rsidR="007A2A81" w:rsidRPr="00B044E4" w:rsidRDefault="007A2A81" w:rsidP="00CA379D">
      <w:pPr>
        <w:spacing w:after="0" w:line="240" w:lineRule="auto"/>
        <w:jc w:val="both"/>
        <w:rPr>
          <w:rFonts w:ascii="Cambria" w:hAnsi="Cambria" w:cs="Times New Roman"/>
        </w:rPr>
      </w:pPr>
    </w:p>
    <w:p w:rsidR="00CB1382" w:rsidRPr="00B044E4" w:rsidRDefault="00CB1382" w:rsidP="00CA379D">
      <w:pPr>
        <w:spacing w:after="0" w:line="240" w:lineRule="auto"/>
        <w:jc w:val="both"/>
        <w:rPr>
          <w:rFonts w:ascii="Cambria" w:hAnsi="Cambria" w:cs="Times New Roman"/>
        </w:rPr>
      </w:pPr>
      <w:r w:rsidRPr="00B044E4">
        <w:rPr>
          <w:rFonts w:ascii="Cambria" w:hAnsi="Cambria" w:cs="Times New Roman"/>
        </w:rPr>
        <w:t xml:space="preserve">Overall, as shown in Figure 2, </w:t>
      </w:r>
      <w:r w:rsidR="000006E9" w:rsidRPr="00B044E4">
        <w:rPr>
          <w:rFonts w:ascii="Cambria" w:hAnsi="Cambria" w:cs="Times New Roman"/>
        </w:rPr>
        <w:t xml:space="preserve">the </w:t>
      </w:r>
      <w:r w:rsidRPr="00B044E4">
        <w:rPr>
          <w:rFonts w:ascii="Cambria" w:hAnsi="Cambria" w:cs="Times New Roman"/>
        </w:rPr>
        <w:t xml:space="preserve">following five central steps during the process of entrepreneurial discovery within smart specialisation deserve particular attention </w:t>
      </w:r>
      <w:r w:rsidRPr="00B044E4">
        <w:rPr>
          <w:rFonts w:ascii="Cambria" w:hAnsi="Cambria" w:cs="Times New Roman"/>
        </w:rPr>
        <w:fldChar w:fldCharType="begin" w:fldLock="1"/>
      </w:r>
      <w:r w:rsidRPr="00B044E4">
        <w:rPr>
          <w:rFonts w:ascii="Cambria" w:hAnsi="Cambria" w:cs="Times New Roman"/>
        </w:rPr>
        <w:instrText>ADDIN CSL_CITATION { "citationItems" : [ { "id" : "ITEM-1", "itemData" : { "abstract" : "Access to this document was granted through an Emerald subscription provided by emerald-srm:413916 [] 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Emerald is a global publisher linking research and practice to the benefit of society. The company manages a portfolio of more than 290 journals and over 2,350 books and book series volumes, as well as providing an extensive range of online products and additional customer resources and services. Emerald is both COUNTER 4 and TRANSFER compliant. The organization is a partner of the Committee on Publication Ethics (COPE) and also works with Portico and the LOCKSS initiative for digital archive preservation. Abstract Purpose \u2013 The purpose of this paper is to assess how national and regional authorities in south-east Europe in a period of crisis perceive and set in motion research and innovation strategies for smart specialisation (RIS3) and the options that these strategies offer to overcome the current fiscal and development crisis. Design/methodology/approach \u2013 The paper starts with a literature review on the guiding principles of smart specialisation strategies and the differences from previous rounds of regional innovation strategies. Evidence on smart specialisation efforts is provided by cases studies in Greece, Slovenia, and Cyprus, focusing on the elaboration of such strategies in three countries with precarious innovation systems under severe conditions of crisis. The case studies are organised around key aspects of the smart specialisation logic, such as the selection of specialisation priorities, bottom-up governance, private sector leadership, and engines of innovation and competitiveness. Findings \u2013 The paper explores the obstacles encountered in running effective RIS strategies under crisis conditions. The paper highlights the main challenges to address, such as the readiness and credibility of public authorities to design and implement sound RIS3 strategies, the willingness of companies to be involved in strategic planning, the availability of private investment funds, innovation and diversification during a crisis, and the drivers of specialisation that could lead to competitiveness and growth. In th\u2026", "author" : [ { "dropping-particle" : "", "family" : "Komninos", "given" : "Nicos", "non-dropping-particle" : "", "parse-names" : false, "suffix" : "" }, { "dropping-particle" : "", "family" : "Musyck", "given" : "Bernard", "non-dropping-particle" : "", "parse-names" : false, "suffix" : "" }, { "dropping-particle" : "", "family" : "Reid", "given" : "Alasdair Iain", "non-dropping-particle" : "", "parse-names" : false, "suffix" : "" } ], "container-title" : "European Journal of Innovation Management European Journal of Innovation Management Iss European Journal of Innovation Management", "id" : "ITEM-1", "issue" : "4", "issued" : { "date-parts" : [ [ "2014" ] ] }, "page" : "448-471", "title" : "European Journal of Innovation Management Smart specialisation strategies in south Europe during crisis Smart specialisation strategies in south Europe during crisis", "type" : "article-journal", "volume" : "17" }, "uris" : [ "http://www.mendeley.com/documents/?uuid=e6f1389f-c9ac-46e0-bcc5-94b38b24db48" ] } ], "mendeley" : { "formattedCitation" : "(Komninos et al., 2014)", "plainTextFormattedCitation" : "(Komninos et al., 2014)", "previouslyFormattedCitation" : "(Komninos et al., 2014)" }, "properties" : { "noteIndex" : 0 }, "schema" : "https://github.com/citation-style-language/schema/raw/master/csl-citation.json" }</w:instrText>
      </w:r>
      <w:r w:rsidRPr="00B044E4">
        <w:rPr>
          <w:rFonts w:ascii="Cambria" w:hAnsi="Cambria" w:cs="Times New Roman"/>
        </w:rPr>
        <w:fldChar w:fldCharType="separate"/>
      </w:r>
      <w:r w:rsidRPr="00B044E4">
        <w:rPr>
          <w:rFonts w:ascii="Cambria" w:hAnsi="Cambria" w:cs="Times New Roman"/>
          <w:noProof/>
        </w:rPr>
        <w:t>(Komninos et al., 2014)</w:t>
      </w:r>
      <w:r w:rsidRPr="00B044E4">
        <w:rPr>
          <w:rFonts w:ascii="Cambria" w:hAnsi="Cambria" w:cs="Times New Roman"/>
        </w:rPr>
        <w:fldChar w:fldCharType="end"/>
      </w:r>
      <w:r w:rsidRPr="00B044E4">
        <w:rPr>
          <w:rFonts w:ascii="Cambria" w:hAnsi="Cambria" w:cs="Times New Roman"/>
        </w:rPr>
        <w:t>:</w:t>
      </w:r>
    </w:p>
    <w:p w:rsidR="00CB1382" w:rsidRPr="00B044E4" w:rsidRDefault="00CB1382" w:rsidP="00CA379D">
      <w:pPr>
        <w:pStyle w:val="ListParagraph"/>
        <w:numPr>
          <w:ilvl w:val="0"/>
          <w:numId w:val="8"/>
        </w:numPr>
        <w:jc w:val="both"/>
        <w:rPr>
          <w:rFonts w:ascii="Cambria" w:hAnsi="Cambria" w:cs="Times New Roman"/>
          <w:lang w:val="en-GB"/>
        </w:rPr>
      </w:pPr>
      <w:r w:rsidRPr="00B044E4">
        <w:rPr>
          <w:rFonts w:ascii="Cambria" w:hAnsi="Cambria" w:cs="Times New Roman"/>
          <w:lang w:val="en-GB"/>
        </w:rPr>
        <w:t xml:space="preserve">selecting areas meeting a critical threshold for productive activities; </w:t>
      </w:r>
    </w:p>
    <w:p w:rsidR="00CB1382" w:rsidRPr="00B044E4" w:rsidRDefault="00CB1382" w:rsidP="00CA379D">
      <w:pPr>
        <w:pStyle w:val="ListParagraph"/>
        <w:numPr>
          <w:ilvl w:val="0"/>
          <w:numId w:val="8"/>
        </w:numPr>
        <w:jc w:val="both"/>
        <w:rPr>
          <w:rFonts w:ascii="Cambria" w:hAnsi="Cambria" w:cs="Times New Roman"/>
          <w:lang w:val="en-GB"/>
        </w:rPr>
      </w:pPr>
      <w:r w:rsidRPr="00B044E4">
        <w:rPr>
          <w:rFonts w:ascii="Cambria" w:hAnsi="Cambria" w:cs="Times New Roman"/>
          <w:lang w:val="en-GB"/>
        </w:rPr>
        <w:t xml:space="preserve">exploring productivity gaps and use alternative paths for productive diversification taking inter- multi- and trans-disciplinary combinations and technologies into considerations; </w:t>
      </w:r>
    </w:p>
    <w:p w:rsidR="00CB1382" w:rsidRPr="00B044E4" w:rsidRDefault="00CB1382" w:rsidP="00CA379D">
      <w:pPr>
        <w:pStyle w:val="ListParagraph"/>
        <w:numPr>
          <w:ilvl w:val="0"/>
          <w:numId w:val="8"/>
        </w:numPr>
        <w:jc w:val="both"/>
        <w:rPr>
          <w:rFonts w:ascii="Cambria" w:hAnsi="Cambria" w:cs="Times New Roman"/>
          <w:lang w:val="en-GB"/>
        </w:rPr>
      </w:pPr>
      <w:r w:rsidRPr="00B044E4">
        <w:rPr>
          <w:rFonts w:ascii="Cambria" w:hAnsi="Cambria" w:cs="Times New Roman"/>
          <w:lang w:val="en-GB"/>
        </w:rPr>
        <w:t>evaluating possible scenarios by entrepreneurs and experts;</w:t>
      </w:r>
    </w:p>
    <w:p w:rsidR="00CB1382" w:rsidRPr="00B044E4" w:rsidRDefault="00CB1382" w:rsidP="00CA379D">
      <w:pPr>
        <w:pStyle w:val="ListParagraph"/>
        <w:numPr>
          <w:ilvl w:val="0"/>
          <w:numId w:val="8"/>
        </w:numPr>
        <w:jc w:val="both"/>
        <w:rPr>
          <w:rFonts w:ascii="Cambria" w:hAnsi="Cambria" w:cs="Times New Roman"/>
          <w:lang w:val="en-GB"/>
        </w:rPr>
      </w:pPr>
      <w:r w:rsidRPr="00B044E4">
        <w:rPr>
          <w:rFonts w:ascii="Cambria" w:hAnsi="Cambria" w:cs="Times New Roman"/>
          <w:lang w:val="en-GB"/>
        </w:rPr>
        <w:t xml:space="preserve">prioritizing assessed scenarios weighing the value-added benefits; and </w:t>
      </w:r>
    </w:p>
    <w:p w:rsidR="00CB1382" w:rsidRPr="00B044E4" w:rsidRDefault="00CB1382" w:rsidP="00CA379D">
      <w:pPr>
        <w:pStyle w:val="ListParagraph"/>
        <w:numPr>
          <w:ilvl w:val="0"/>
          <w:numId w:val="8"/>
        </w:numPr>
        <w:jc w:val="both"/>
        <w:rPr>
          <w:rFonts w:ascii="Cambria" w:hAnsi="Cambria" w:cs="Times New Roman"/>
          <w:lang w:val="en-GB"/>
        </w:rPr>
      </w:pPr>
      <w:r w:rsidRPr="00B044E4">
        <w:rPr>
          <w:rFonts w:ascii="Cambria" w:hAnsi="Cambria" w:cs="Times New Roman"/>
          <w:lang w:val="en-GB"/>
        </w:rPr>
        <w:t>experimenting with small-scale pilot initiatives before full-scale implementation.</w:t>
      </w:r>
    </w:p>
    <w:p w:rsidR="00CB1382" w:rsidRPr="00B044E4" w:rsidRDefault="003E6899" w:rsidP="00CA379D">
      <w:pPr>
        <w:pStyle w:val="ListParagraph"/>
        <w:keepNext/>
        <w:ind w:left="0"/>
        <w:jc w:val="both"/>
        <w:rPr>
          <w:rFonts w:ascii="Cambria" w:hAnsi="Cambria"/>
          <w:lang w:val="en-GB"/>
        </w:rPr>
      </w:pPr>
      <w:r w:rsidRPr="00B044E4">
        <w:rPr>
          <w:rFonts w:ascii="Cambria" w:hAnsi="Cambria"/>
          <w:noProof/>
          <w:lang w:val="en-GB"/>
        </w:rPr>
        <w:drawing>
          <wp:anchor distT="0" distB="0" distL="114300" distR="114300" simplePos="0" relativeHeight="251661312" behindDoc="0" locked="0" layoutInCell="1" allowOverlap="1" wp14:anchorId="1DCA65DA">
            <wp:simplePos x="0" y="0"/>
            <wp:positionH relativeFrom="column">
              <wp:posOffset>50866</wp:posOffset>
            </wp:positionH>
            <wp:positionV relativeFrom="paragraph">
              <wp:posOffset>94175</wp:posOffset>
            </wp:positionV>
            <wp:extent cx="5731510" cy="976630"/>
            <wp:effectExtent l="0" t="0" r="2540" b="0"/>
            <wp:wrapNone/>
            <wp:docPr id="1" name="Picture 4">
              <a:extLst xmlns:a="http://schemas.openxmlformats.org/drawingml/2006/main">
                <a:ext uri="{FF2B5EF4-FFF2-40B4-BE49-F238E27FC236}">
                  <a16:creationId xmlns:a16="http://schemas.microsoft.com/office/drawing/2014/main" id="{6EA48B44-643C-466C-B13A-D0EC00FBFA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EA48B44-643C-466C-B13A-D0EC00FBFA70}"/>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731510" cy="976630"/>
                    </a:xfrm>
                    <a:prstGeom prst="rect">
                      <a:avLst/>
                    </a:prstGeom>
                  </pic:spPr>
                </pic:pic>
              </a:graphicData>
            </a:graphic>
            <wp14:sizeRelH relativeFrom="page">
              <wp14:pctWidth>0</wp14:pctWidth>
            </wp14:sizeRelH>
            <wp14:sizeRelV relativeFrom="page">
              <wp14:pctHeight>0</wp14:pctHeight>
            </wp14:sizeRelV>
          </wp:anchor>
        </w:drawing>
      </w:r>
    </w:p>
    <w:p w:rsidR="003E6899" w:rsidRPr="00B044E4" w:rsidRDefault="003E6899" w:rsidP="00CA379D">
      <w:pPr>
        <w:pStyle w:val="Caption"/>
        <w:spacing w:after="0"/>
        <w:jc w:val="center"/>
        <w:rPr>
          <w:rFonts w:ascii="Cambria" w:hAnsi="Cambria" w:cs="Times New Roman"/>
          <w:b/>
          <w:color w:val="auto"/>
          <w:sz w:val="22"/>
          <w:szCs w:val="22"/>
        </w:rPr>
      </w:pPr>
    </w:p>
    <w:p w:rsidR="003E6899" w:rsidRPr="00B044E4" w:rsidRDefault="003E6899" w:rsidP="00CA379D">
      <w:pPr>
        <w:pStyle w:val="Caption"/>
        <w:spacing w:after="0"/>
        <w:jc w:val="center"/>
        <w:rPr>
          <w:rFonts w:ascii="Cambria" w:hAnsi="Cambria" w:cs="Times New Roman"/>
          <w:b/>
          <w:color w:val="auto"/>
          <w:sz w:val="22"/>
          <w:szCs w:val="22"/>
        </w:rPr>
      </w:pPr>
    </w:p>
    <w:p w:rsidR="003E6899" w:rsidRPr="00B044E4" w:rsidRDefault="003E6899" w:rsidP="00CA379D">
      <w:pPr>
        <w:pStyle w:val="Caption"/>
        <w:spacing w:after="0"/>
        <w:jc w:val="center"/>
        <w:rPr>
          <w:rFonts w:ascii="Cambria" w:hAnsi="Cambria" w:cs="Times New Roman"/>
          <w:b/>
          <w:color w:val="auto"/>
          <w:sz w:val="22"/>
          <w:szCs w:val="22"/>
        </w:rPr>
      </w:pPr>
    </w:p>
    <w:p w:rsidR="003E6899" w:rsidRPr="00B044E4" w:rsidRDefault="003E6899" w:rsidP="00CA379D">
      <w:pPr>
        <w:pStyle w:val="Caption"/>
        <w:spacing w:after="0"/>
        <w:jc w:val="center"/>
        <w:rPr>
          <w:rFonts w:ascii="Cambria" w:hAnsi="Cambria" w:cs="Times New Roman"/>
          <w:b/>
          <w:color w:val="auto"/>
          <w:sz w:val="22"/>
          <w:szCs w:val="22"/>
        </w:rPr>
      </w:pPr>
    </w:p>
    <w:p w:rsidR="003E6899" w:rsidRPr="00B044E4" w:rsidRDefault="003E6899" w:rsidP="00CA379D">
      <w:pPr>
        <w:pStyle w:val="Caption"/>
        <w:spacing w:after="0"/>
        <w:jc w:val="center"/>
        <w:rPr>
          <w:rFonts w:ascii="Cambria" w:hAnsi="Cambria" w:cs="Times New Roman"/>
          <w:b/>
          <w:color w:val="auto"/>
          <w:sz w:val="22"/>
          <w:szCs w:val="22"/>
        </w:rPr>
      </w:pPr>
    </w:p>
    <w:p w:rsidR="00CB1382" w:rsidRPr="00B044E4" w:rsidRDefault="00CB1382" w:rsidP="00CA379D">
      <w:pPr>
        <w:pStyle w:val="Caption"/>
        <w:spacing w:after="0"/>
        <w:jc w:val="center"/>
        <w:rPr>
          <w:rFonts w:ascii="Cambria" w:hAnsi="Cambria" w:cs="Times New Roman"/>
          <w:b/>
          <w:color w:val="auto"/>
          <w:sz w:val="20"/>
          <w:szCs w:val="22"/>
        </w:rPr>
      </w:pPr>
      <w:r w:rsidRPr="00B044E4">
        <w:rPr>
          <w:rFonts w:ascii="Cambria" w:hAnsi="Cambria" w:cs="Times New Roman"/>
          <w:b/>
          <w:color w:val="auto"/>
          <w:sz w:val="20"/>
          <w:szCs w:val="22"/>
        </w:rPr>
        <w:t xml:space="preserve">Figure </w:t>
      </w:r>
      <w:r w:rsidRPr="00B044E4">
        <w:rPr>
          <w:rFonts w:ascii="Cambria" w:hAnsi="Cambria" w:cs="Times New Roman"/>
          <w:b/>
          <w:color w:val="auto"/>
          <w:sz w:val="20"/>
          <w:szCs w:val="22"/>
        </w:rPr>
        <w:fldChar w:fldCharType="begin"/>
      </w:r>
      <w:r w:rsidRPr="00B044E4">
        <w:rPr>
          <w:rFonts w:ascii="Cambria" w:hAnsi="Cambria" w:cs="Times New Roman"/>
          <w:b/>
          <w:color w:val="auto"/>
          <w:sz w:val="20"/>
          <w:szCs w:val="22"/>
        </w:rPr>
        <w:instrText xml:space="preserve"> SEQ Figure \* ARABIC </w:instrText>
      </w:r>
      <w:r w:rsidRPr="00B044E4">
        <w:rPr>
          <w:rFonts w:ascii="Cambria" w:hAnsi="Cambria" w:cs="Times New Roman"/>
          <w:b/>
          <w:color w:val="auto"/>
          <w:sz w:val="20"/>
          <w:szCs w:val="22"/>
        </w:rPr>
        <w:fldChar w:fldCharType="separate"/>
      </w:r>
      <w:r w:rsidR="006F5948">
        <w:rPr>
          <w:rFonts w:ascii="Cambria" w:hAnsi="Cambria" w:cs="Times New Roman"/>
          <w:b/>
          <w:noProof/>
          <w:color w:val="auto"/>
          <w:sz w:val="20"/>
          <w:szCs w:val="22"/>
        </w:rPr>
        <w:t>2</w:t>
      </w:r>
      <w:r w:rsidRPr="00B044E4">
        <w:rPr>
          <w:rFonts w:ascii="Cambria" w:hAnsi="Cambria" w:cs="Times New Roman"/>
          <w:b/>
          <w:color w:val="auto"/>
          <w:sz w:val="20"/>
          <w:szCs w:val="22"/>
        </w:rPr>
        <w:fldChar w:fldCharType="end"/>
      </w:r>
      <w:r w:rsidRPr="00B044E4">
        <w:rPr>
          <w:rFonts w:ascii="Cambria" w:hAnsi="Cambria" w:cs="Times New Roman"/>
          <w:b/>
          <w:color w:val="auto"/>
          <w:sz w:val="20"/>
          <w:szCs w:val="22"/>
        </w:rPr>
        <w:t xml:space="preserve"> Five central steps for smart entrepreneurial discovery</w:t>
      </w:r>
    </w:p>
    <w:p w:rsidR="007A2A81" w:rsidRPr="00B044E4" w:rsidRDefault="007A2A81" w:rsidP="00CA379D">
      <w:pPr>
        <w:spacing w:after="0" w:line="240" w:lineRule="auto"/>
        <w:jc w:val="both"/>
        <w:rPr>
          <w:rFonts w:ascii="Cambria" w:hAnsi="Cambria" w:cs="Times New Roman"/>
          <w:b/>
        </w:rPr>
      </w:pPr>
    </w:p>
    <w:p w:rsidR="00CB1382" w:rsidRPr="00761DF1" w:rsidRDefault="00CB1382" w:rsidP="00761DF1">
      <w:pPr>
        <w:spacing w:after="120" w:line="240" w:lineRule="auto"/>
        <w:jc w:val="both"/>
        <w:rPr>
          <w:rFonts w:ascii="Cambria" w:hAnsi="Cambria" w:cs="Times New Roman"/>
        </w:rPr>
      </w:pPr>
      <w:r w:rsidRPr="00761DF1">
        <w:rPr>
          <w:rFonts w:ascii="Cambria" w:hAnsi="Cambria" w:cs="Times New Roman"/>
          <w:b/>
        </w:rPr>
        <w:t>Building blocks for smart specialisation</w:t>
      </w:r>
      <w:r w:rsidRPr="00761DF1">
        <w:rPr>
          <w:rFonts w:ascii="Cambria" w:hAnsi="Cambria" w:cs="Times New Roman"/>
        </w:rPr>
        <w:t xml:space="preserve">  </w:t>
      </w:r>
    </w:p>
    <w:p w:rsidR="00CB1382" w:rsidRPr="00B044E4" w:rsidRDefault="00CB1382" w:rsidP="00CA379D">
      <w:pPr>
        <w:spacing w:after="0" w:line="240" w:lineRule="auto"/>
        <w:jc w:val="both"/>
        <w:rPr>
          <w:rFonts w:ascii="Cambria" w:hAnsi="Cambria" w:cs="Times New Roman"/>
        </w:rPr>
      </w:pPr>
      <w:r w:rsidRPr="00B044E4">
        <w:rPr>
          <w:rFonts w:ascii="Cambria" w:hAnsi="Cambria" w:cs="Times New Roman"/>
        </w:rPr>
        <w:t>According to guidelines and recommendations on behalf of the European Commission’s Joint Research Centre</w:t>
      </w:r>
      <w:r w:rsidR="000006E9" w:rsidRPr="00B044E4">
        <w:rPr>
          <w:rFonts w:ascii="Cambria" w:hAnsi="Cambria" w:cs="Times New Roman"/>
        </w:rPr>
        <w:t xml:space="preserve"> (JRC)</w:t>
      </w:r>
      <w:r w:rsidR="00125B00" w:rsidRPr="00B044E4">
        <w:rPr>
          <w:rFonts w:ascii="Cambria" w:hAnsi="Cambria" w:cs="Times New Roman"/>
        </w:rPr>
        <w:t>,</w:t>
      </w:r>
      <w:r w:rsidRPr="00B044E4">
        <w:rPr>
          <w:rFonts w:ascii="Cambria" w:hAnsi="Cambria" w:cs="Times New Roman"/>
        </w:rPr>
        <w:t xml:space="preserve"> a RIS3 should be characterised by the following</w:t>
      </w:r>
      <w:r w:rsidR="003E6899" w:rsidRPr="00B044E4">
        <w:rPr>
          <w:rFonts w:ascii="Cambria" w:hAnsi="Cambria" w:cs="Times New Roman"/>
        </w:rPr>
        <w:t xml:space="preserve"> (Fig. 3)</w:t>
      </w:r>
      <w:r w:rsidRPr="00B044E4">
        <w:rPr>
          <w:rFonts w:ascii="Cambria" w:hAnsi="Cambria" w:cs="Times New Roman"/>
        </w:rPr>
        <w:t>:</w:t>
      </w:r>
    </w:p>
    <w:p w:rsidR="00CB1382" w:rsidRPr="00B044E4" w:rsidRDefault="000006E9" w:rsidP="00CA379D">
      <w:pPr>
        <w:pStyle w:val="ListParagraph"/>
        <w:numPr>
          <w:ilvl w:val="0"/>
          <w:numId w:val="22"/>
        </w:numPr>
        <w:jc w:val="both"/>
        <w:rPr>
          <w:rFonts w:ascii="Cambria" w:hAnsi="Cambria" w:cs="Times New Roman"/>
          <w:lang w:val="en-GB"/>
        </w:rPr>
      </w:pPr>
      <w:r w:rsidRPr="00B044E4">
        <w:rPr>
          <w:rFonts w:ascii="Cambria" w:hAnsi="Cambria" w:cs="Times New Roman"/>
          <w:b/>
          <w:i/>
          <w:lang w:val="en-GB"/>
        </w:rPr>
        <w:t>P</w:t>
      </w:r>
      <w:r w:rsidR="00CB1382" w:rsidRPr="00B044E4">
        <w:rPr>
          <w:rFonts w:ascii="Cambria" w:hAnsi="Cambria" w:cs="Times New Roman"/>
          <w:b/>
          <w:i/>
          <w:lang w:val="en-GB"/>
        </w:rPr>
        <w:t>lace-based approach</w:t>
      </w:r>
      <w:r w:rsidRPr="00B044E4">
        <w:rPr>
          <w:rFonts w:ascii="Cambria" w:hAnsi="Cambria" w:cs="Times New Roman"/>
          <w:lang w:val="en-GB"/>
        </w:rPr>
        <w:t xml:space="preserve">, which </w:t>
      </w:r>
      <w:r w:rsidR="00CB1382" w:rsidRPr="00B044E4">
        <w:rPr>
          <w:rFonts w:ascii="Cambria" w:hAnsi="Cambria" w:cs="Times New Roman"/>
          <w:lang w:val="en-GB"/>
        </w:rPr>
        <w:t>builds on local available resources in order to explore and exploit entrepreneurial opportunities for economic growth.</w:t>
      </w:r>
    </w:p>
    <w:p w:rsidR="00CB1382" w:rsidRPr="00B044E4" w:rsidRDefault="00CB1382" w:rsidP="00CA379D">
      <w:pPr>
        <w:pStyle w:val="ListParagraph"/>
        <w:numPr>
          <w:ilvl w:val="0"/>
          <w:numId w:val="22"/>
        </w:numPr>
        <w:jc w:val="both"/>
        <w:rPr>
          <w:rFonts w:ascii="Cambria" w:hAnsi="Cambria" w:cs="Times New Roman"/>
          <w:lang w:val="en-GB"/>
        </w:rPr>
      </w:pPr>
      <w:r w:rsidRPr="00B044E4">
        <w:rPr>
          <w:rFonts w:ascii="Cambria" w:eastAsia="Times New Roman" w:hAnsi="Cambria" w:cs="Times New Roman"/>
          <w:b/>
          <w:i/>
          <w:lang w:val="en-GB"/>
        </w:rPr>
        <w:t>Evidence-driven</w:t>
      </w:r>
      <w:r w:rsidRPr="00B044E4">
        <w:rPr>
          <w:rFonts w:ascii="Cambria" w:eastAsia="Times New Roman" w:hAnsi="Cambria" w:cs="Times New Roman"/>
          <w:lang w:val="en-GB"/>
        </w:rPr>
        <w:t xml:space="preserve"> </w:t>
      </w:r>
      <w:r w:rsidRPr="00B044E4">
        <w:rPr>
          <w:rFonts w:ascii="Cambria" w:hAnsi="Cambria" w:cs="Times New Roman"/>
          <w:lang w:val="en-GB"/>
        </w:rPr>
        <w:t>decision-making</w:t>
      </w:r>
      <w:r w:rsidR="000006E9" w:rsidRPr="00B044E4">
        <w:rPr>
          <w:rFonts w:ascii="Cambria" w:hAnsi="Cambria" w:cs="Times New Roman"/>
          <w:lang w:val="en-GB"/>
        </w:rPr>
        <w:t xml:space="preserve">, </w:t>
      </w:r>
      <w:r w:rsidRPr="00B044E4">
        <w:rPr>
          <w:rFonts w:ascii="Cambria" w:hAnsi="Cambria" w:cs="Times New Roman"/>
          <w:lang w:val="en-GB"/>
        </w:rPr>
        <w:t>focus</w:t>
      </w:r>
      <w:r w:rsidR="000006E9" w:rsidRPr="00B044E4">
        <w:rPr>
          <w:rFonts w:ascii="Cambria" w:hAnsi="Cambria" w:cs="Times New Roman"/>
          <w:lang w:val="en-GB"/>
        </w:rPr>
        <w:t>ing</w:t>
      </w:r>
      <w:r w:rsidRPr="00B044E4">
        <w:rPr>
          <w:rFonts w:ascii="Cambria" w:hAnsi="Cambria" w:cs="Times New Roman"/>
          <w:lang w:val="en-GB"/>
        </w:rPr>
        <w:t xml:space="preserve"> on few but well-identified priorities for smart knowledge-based investments to strengthen competitive potentials.</w:t>
      </w:r>
    </w:p>
    <w:p w:rsidR="00CB1382" w:rsidRPr="00B044E4" w:rsidRDefault="00CB1382" w:rsidP="00CA379D">
      <w:pPr>
        <w:pStyle w:val="ListParagraph"/>
        <w:numPr>
          <w:ilvl w:val="0"/>
          <w:numId w:val="22"/>
        </w:numPr>
        <w:jc w:val="both"/>
        <w:rPr>
          <w:rFonts w:ascii="Cambria" w:hAnsi="Cambria" w:cs="Times New Roman"/>
          <w:lang w:val="en-GB"/>
        </w:rPr>
      </w:pPr>
      <w:r w:rsidRPr="00B044E4">
        <w:rPr>
          <w:rFonts w:ascii="Cambria" w:hAnsi="Cambria" w:cs="Times New Roman"/>
          <w:b/>
          <w:i/>
          <w:lang w:val="en-GB"/>
        </w:rPr>
        <w:t>Interactive stakeholder engagement</w:t>
      </w:r>
      <w:r w:rsidR="000006E9" w:rsidRPr="00B044E4">
        <w:rPr>
          <w:rFonts w:ascii="Cambria" w:hAnsi="Cambria" w:cs="Times New Roman"/>
          <w:b/>
          <w:i/>
          <w:lang w:val="en-GB"/>
        </w:rPr>
        <w:t xml:space="preserve"> </w:t>
      </w:r>
      <w:r w:rsidR="000006E9" w:rsidRPr="00B044E4">
        <w:rPr>
          <w:rFonts w:ascii="Cambria" w:hAnsi="Cambria" w:cs="Times New Roman"/>
          <w:lang w:val="en-GB"/>
        </w:rPr>
        <w:t>that</w:t>
      </w:r>
      <w:r w:rsidR="000006E9" w:rsidRPr="00B044E4">
        <w:rPr>
          <w:rFonts w:ascii="Cambria" w:hAnsi="Cambria" w:cs="Times New Roman"/>
          <w:b/>
          <w:i/>
          <w:lang w:val="en-GB"/>
        </w:rPr>
        <w:t xml:space="preserve"> </w:t>
      </w:r>
      <w:r w:rsidRPr="00B044E4">
        <w:rPr>
          <w:rFonts w:ascii="Cambria" w:hAnsi="Cambria" w:cs="Times New Roman"/>
          <w:lang w:val="en-GB"/>
        </w:rPr>
        <w:t>boost</w:t>
      </w:r>
      <w:r w:rsidR="000006E9" w:rsidRPr="00B044E4">
        <w:rPr>
          <w:rFonts w:ascii="Cambria" w:hAnsi="Cambria" w:cs="Times New Roman"/>
          <w:lang w:val="en-GB"/>
        </w:rPr>
        <w:t>s</w:t>
      </w:r>
      <w:r w:rsidRPr="00B044E4">
        <w:rPr>
          <w:rFonts w:ascii="Cambria" w:hAnsi="Cambria" w:cs="Times New Roman"/>
          <w:lang w:val="en-GB"/>
        </w:rPr>
        <w:t xml:space="preserve"> the </w:t>
      </w:r>
      <w:r w:rsidRPr="00B044E4">
        <w:rPr>
          <w:rFonts w:ascii="Cambria" w:hAnsi="Cambria" w:cs="Times New Roman"/>
          <w:b/>
          <w:i/>
          <w:lang w:val="en-GB"/>
        </w:rPr>
        <w:t>entrepreneurial discovery processes</w:t>
      </w:r>
      <w:r w:rsidRPr="00B044E4">
        <w:rPr>
          <w:rFonts w:ascii="Cambria" w:hAnsi="Cambria" w:cs="Times New Roman"/>
          <w:lang w:val="en-GB"/>
        </w:rPr>
        <w:t xml:space="preserve"> for setting priorities bottom-up. </w:t>
      </w:r>
    </w:p>
    <w:p w:rsidR="00CB1382" w:rsidRPr="00B044E4" w:rsidRDefault="00CB1382" w:rsidP="00CA379D">
      <w:pPr>
        <w:pStyle w:val="ListParagraph"/>
        <w:numPr>
          <w:ilvl w:val="0"/>
          <w:numId w:val="22"/>
        </w:numPr>
        <w:jc w:val="both"/>
        <w:rPr>
          <w:rFonts w:ascii="Cambria" w:hAnsi="Cambria" w:cs="Times New Roman"/>
          <w:lang w:val="en-GB"/>
        </w:rPr>
      </w:pPr>
      <w:r w:rsidRPr="00B044E4">
        <w:rPr>
          <w:rFonts w:ascii="Cambria" w:hAnsi="Cambria" w:cs="Times New Roman"/>
          <w:lang w:val="en-GB"/>
        </w:rPr>
        <w:t xml:space="preserve">A </w:t>
      </w:r>
      <w:r w:rsidRPr="00B044E4">
        <w:rPr>
          <w:rFonts w:ascii="Cambria" w:hAnsi="Cambria" w:cs="Times New Roman"/>
          <w:b/>
          <w:i/>
          <w:lang w:val="en-GB"/>
        </w:rPr>
        <w:t>broad view of innovation</w:t>
      </w:r>
      <w:r w:rsidRPr="00B044E4">
        <w:rPr>
          <w:rFonts w:ascii="Cambria" w:hAnsi="Cambria" w:cs="Times New Roman"/>
          <w:lang w:val="en-GB"/>
        </w:rPr>
        <w:t xml:space="preserve"> that promotes technological and practice-based social innovation based on socio-economic environments and policy co-design processes.</w:t>
      </w:r>
    </w:p>
    <w:p w:rsidR="00CB1382" w:rsidRPr="00B044E4" w:rsidRDefault="00CB1382" w:rsidP="00CA379D">
      <w:pPr>
        <w:pStyle w:val="ListParagraph"/>
        <w:numPr>
          <w:ilvl w:val="0"/>
          <w:numId w:val="22"/>
        </w:numPr>
        <w:jc w:val="both"/>
        <w:rPr>
          <w:rFonts w:ascii="Cambria" w:hAnsi="Cambria" w:cs="Times New Roman"/>
          <w:lang w:val="en-GB"/>
        </w:rPr>
      </w:pPr>
      <w:r w:rsidRPr="00B044E4">
        <w:rPr>
          <w:rFonts w:ascii="Cambria" w:hAnsi="Cambria" w:cs="Times New Roman"/>
          <w:lang w:val="en-GB"/>
        </w:rPr>
        <w:t xml:space="preserve">A </w:t>
      </w:r>
      <w:r w:rsidRPr="00B044E4">
        <w:rPr>
          <w:rFonts w:ascii="Cambria" w:hAnsi="Cambria" w:cs="Times New Roman"/>
          <w:b/>
          <w:i/>
          <w:lang w:val="en-GB"/>
        </w:rPr>
        <w:t>solid monitoring and evaluation system</w:t>
      </w:r>
      <w:r w:rsidR="000006E9" w:rsidRPr="00B044E4">
        <w:rPr>
          <w:rFonts w:ascii="Cambria" w:hAnsi="Cambria" w:cs="Times New Roman"/>
          <w:b/>
          <w:i/>
          <w:lang w:val="en-GB"/>
        </w:rPr>
        <w:t>,</w:t>
      </w:r>
      <w:r w:rsidRPr="00B044E4">
        <w:rPr>
          <w:rFonts w:ascii="Cambria" w:hAnsi="Cambria" w:cs="Times New Roman"/>
          <w:lang w:val="en-GB"/>
        </w:rPr>
        <w:t xml:space="preserve"> including effective and efficient revision mechanism should allow flexible adaption of strategic decision making.</w:t>
      </w:r>
    </w:p>
    <w:p w:rsidR="007A2A81" w:rsidRPr="00B044E4" w:rsidRDefault="007A2A81" w:rsidP="00CA379D">
      <w:pPr>
        <w:spacing w:after="0" w:line="240" w:lineRule="auto"/>
        <w:jc w:val="both"/>
        <w:rPr>
          <w:rFonts w:ascii="Cambria" w:hAnsi="Cambria" w:cs="Times New Roman"/>
        </w:rPr>
      </w:pPr>
    </w:p>
    <w:p w:rsidR="007A2A81" w:rsidRPr="00B044E4" w:rsidRDefault="003E6899" w:rsidP="00CA379D">
      <w:pPr>
        <w:spacing w:after="0" w:line="240" w:lineRule="auto"/>
        <w:jc w:val="both"/>
        <w:rPr>
          <w:rFonts w:ascii="Cambria" w:hAnsi="Cambria" w:cs="Times New Roman"/>
        </w:rPr>
      </w:pPr>
      <w:r w:rsidRPr="00B044E4">
        <w:rPr>
          <w:rFonts w:ascii="Cambria" w:hAnsi="Cambria"/>
          <w:noProof/>
        </w:rPr>
        <w:drawing>
          <wp:anchor distT="0" distB="0" distL="114300" distR="114300" simplePos="0" relativeHeight="251658240" behindDoc="0" locked="0" layoutInCell="1" allowOverlap="1">
            <wp:simplePos x="0" y="0"/>
            <wp:positionH relativeFrom="margin">
              <wp:align>right</wp:align>
            </wp:positionH>
            <wp:positionV relativeFrom="paragraph">
              <wp:posOffset>37922</wp:posOffset>
            </wp:positionV>
            <wp:extent cx="5447111" cy="1619048"/>
            <wp:effectExtent l="0" t="0" r="1270"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7111" cy="16190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2A81" w:rsidRPr="00B044E4" w:rsidRDefault="007A2A81" w:rsidP="00CA379D">
      <w:pPr>
        <w:spacing w:after="0" w:line="240" w:lineRule="auto"/>
        <w:jc w:val="both"/>
        <w:rPr>
          <w:rFonts w:ascii="Cambria" w:hAnsi="Cambria" w:cs="Times New Roman"/>
        </w:rPr>
      </w:pPr>
    </w:p>
    <w:p w:rsidR="007A2A81" w:rsidRPr="00B044E4" w:rsidRDefault="007A2A81" w:rsidP="00CA379D">
      <w:pPr>
        <w:spacing w:after="0" w:line="240" w:lineRule="auto"/>
        <w:jc w:val="both"/>
        <w:rPr>
          <w:rFonts w:ascii="Cambria" w:hAnsi="Cambria" w:cs="Times New Roman"/>
        </w:rPr>
      </w:pPr>
    </w:p>
    <w:p w:rsidR="007A2A81" w:rsidRPr="00B044E4" w:rsidRDefault="007A2A81" w:rsidP="00CA379D">
      <w:pPr>
        <w:spacing w:after="0" w:line="240" w:lineRule="auto"/>
        <w:jc w:val="both"/>
        <w:rPr>
          <w:rFonts w:ascii="Cambria" w:hAnsi="Cambria" w:cs="Times New Roman"/>
        </w:rPr>
      </w:pPr>
    </w:p>
    <w:p w:rsidR="003E6899" w:rsidRPr="00B044E4" w:rsidRDefault="003E6899" w:rsidP="00CA379D">
      <w:pPr>
        <w:spacing w:after="0" w:line="240" w:lineRule="auto"/>
        <w:jc w:val="both"/>
        <w:rPr>
          <w:rFonts w:ascii="Cambria" w:hAnsi="Cambria" w:cs="Times New Roman"/>
        </w:rPr>
      </w:pPr>
    </w:p>
    <w:p w:rsidR="007A2A81" w:rsidRPr="00B044E4" w:rsidRDefault="007A2A81" w:rsidP="00CA379D">
      <w:pPr>
        <w:spacing w:after="0" w:line="240" w:lineRule="auto"/>
        <w:jc w:val="both"/>
        <w:rPr>
          <w:rFonts w:ascii="Cambria" w:hAnsi="Cambria" w:cs="Times New Roman"/>
        </w:rPr>
      </w:pPr>
    </w:p>
    <w:p w:rsidR="003E6899" w:rsidRPr="00B044E4" w:rsidRDefault="003E6899" w:rsidP="00CA379D">
      <w:pPr>
        <w:pStyle w:val="Caption"/>
        <w:spacing w:after="0"/>
        <w:jc w:val="center"/>
        <w:rPr>
          <w:rFonts w:ascii="Cambria" w:hAnsi="Cambria" w:cs="Times New Roman"/>
          <w:b/>
          <w:color w:val="auto"/>
          <w:sz w:val="22"/>
          <w:szCs w:val="22"/>
        </w:rPr>
      </w:pPr>
    </w:p>
    <w:p w:rsidR="00125B00" w:rsidRPr="00B044E4" w:rsidRDefault="00125B00" w:rsidP="00CA379D">
      <w:pPr>
        <w:pStyle w:val="Caption"/>
        <w:spacing w:after="0"/>
        <w:jc w:val="center"/>
        <w:rPr>
          <w:rFonts w:ascii="Cambria" w:hAnsi="Cambria" w:cs="Times New Roman"/>
          <w:b/>
          <w:color w:val="auto"/>
          <w:sz w:val="22"/>
          <w:szCs w:val="22"/>
        </w:rPr>
      </w:pPr>
    </w:p>
    <w:p w:rsidR="00125B00" w:rsidRPr="00B044E4" w:rsidRDefault="00125B00" w:rsidP="00CA379D">
      <w:pPr>
        <w:pStyle w:val="Caption"/>
        <w:spacing w:after="0"/>
        <w:jc w:val="center"/>
        <w:rPr>
          <w:rFonts w:ascii="Cambria" w:hAnsi="Cambria" w:cs="Times New Roman"/>
          <w:b/>
          <w:color w:val="auto"/>
          <w:sz w:val="22"/>
          <w:szCs w:val="22"/>
        </w:rPr>
      </w:pPr>
    </w:p>
    <w:p w:rsidR="00125B00" w:rsidRPr="00B044E4" w:rsidRDefault="00125B00" w:rsidP="00CA379D">
      <w:pPr>
        <w:pStyle w:val="Caption"/>
        <w:spacing w:after="0"/>
        <w:jc w:val="center"/>
        <w:rPr>
          <w:rFonts w:ascii="Cambria" w:hAnsi="Cambria" w:cs="Times New Roman"/>
          <w:b/>
          <w:color w:val="auto"/>
          <w:sz w:val="22"/>
          <w:szCs w:val="22"/>
        </w:rPr>
      </w:pPr>
    </w:p>
    <w:p w:rsidR="00F66BCD" w:rsidRPr="00B044E4" w:rsidRDefault="00F66BCD" w:rsidP="00CA379D">
      <w:pPr>
        <w:pStyle w:val="Caption"/>
        <w:spacing w:after="0"/>
        <w:jc w:val="center"/>
        <w:rPr>
          <w:rFonts w:ascii="Cambria" w:hAnsi="Cambria" w:cs="Times New Roman"/>
          <w:b/>
          <w:color w:val="auto"/>
          <w:sz w:val="22"/>
          <w:szCs w:val="22"/>
        </w:rPr>
      </w:pPr>
    </w:p>
    <w:p w:rsidR="00CB1382" w:rsidRPr="00B044E4" w:rsidRDefault="00CB1382" w:rsidP="00CA379D">
      <w:pPr>
        <w:pStyle w:val="Caption"/>
        <w:spacing w:after="0"/>
        <w:jc w:val="center"/>
        <w:rPr>
          <w:rFonts w:ascii="Cambria" w:hAnsi="Cambria" w:cs="Times New Roman"/>
          <w:b/>
          <w:color w:val="auto"/>
          <w:sz w:val="20"/>
          <w:szCs w:val="22"/>
        </w:rPr>
      </w:pPr>
      <w:r w:rsidRPr="00B044E4">
        <w:rPr>
          <w:rFonts w:ascii="Cambria" w:hAnsi="Cambria" w:cs="Times New Roman"/>
          <w:b/>
          <w:color w:val="auto"/>
          <w:sz w:val="20"/>
          <w:szCs w:val="22"/>
        </w:rPr>
        <w:t xml:space="preserve">Figure </w:t>
      </w:r>
      <w:r w:rsidRPr="00B044E4">
        <w:rPr>
          <w:rFonts w:ascii="Cambria" w:hAnsi="Cambria" w:cs="Times New Roman"/>
          <w:b/>
          <w:color w:val="auto"/>
          <w:sz w:val="20"/>
          <w:szCs w:val="22"/>
        </w:rPr>
        <w:fldChar w:fldCharType="begin"/>
      </w:r>
      <w:r w:rsidRPr="00B044E4">
        <w:rPr>
          <w:rFonts w:ascii="Cambria" w:hAnsi="Cambria" w:cs="Times New Roman"/>
          <w:b/>
          <w:color w:val="auto"/>
          <w:sz w:val="20"/>
          <w:szCs w:val="22"/>
        </w:rPr>
        <w:instrText xml:space="preserve"> SEQ Figure \* ARABIC </w:instrText>
      </w:r>
      <w:r w:rsidRPr="00B044E4">
        <w:rPr>
          <w:rFonts w:ascii="Cambria" w:hAnsi="Cambria" w:cs="Times New Roman"/>
          <w:b/>
          <w:color w:val="auto"/>
          <w:sz w:val="20"/>
          <w:szCs w:val="22"/>
        </w:rPr>
        <w:fldChar w:fldCharType="separate"/>
      </w:r>
      <w:r w:rsidR="006F5948">
        <w:rPr>
          <w:rFonts w:ascii="Cambria" w:hAnsi="Cambria" w:cs="Times New Roman"/>
          <w:b/>
          <w:noProof/>
          <w:color w:val="auto"/>
          <w:sz w:val="20"/>
          <w:szCs w:val="22"/>
        </w:rPr>
        <w:t>3</w:t>
      </w:r>
      <w:r w:rsidRPr="00B044E4">
        <w:rPr>
          <w:rFonts w:ascii="Cambria" w:hAnsi="Cambria" w:cs="Times New Roman"/>
          <w:b/>
          <w:color w:val="auto"/>
          <w:sz w:val="20"/>
          <w:szCs w:val="22"/>
        </w:rPr>
        <w:fldChar w:fldCharType="end"/>
      </w:r>
      <w:r w:rsidR="00F66BCD" w:rsidRPr="00B044E4">
        <w:rPr>
          <w:rFonts w:ascii="Cambria" w:hAnsi="Cambria" w:cs="Times New Roman"/>
          <w:b/>
          <w:color w:val="auto"/>
          <w:sz w:val="20"/>
          <w:szCs w:val="22"/>
        </w:rPr>
        <w:t>.</w:t>
      </w:r>
      <w:r w:rsidRPr="00B044E4">
        <w:rPr>
          <w:rFonts w:ascii="Cambria" w:hAnsi="Cambria" w:cs="Times New Roman"/>
          <w:b/>
          <w:color w:val="auto"/>
          <w:sz w:val="20"/>
          <w:szCs w:val="22"/>
        </w:rPr>
        <w:t xml:space="preserve"> </w:t>
      </w:r>
      <w:r w:rsidR="000006E9" w:rsidRPr="00B044E4">
        <w:rPr>
          <w:rFonts w:ascii="Cambria" w:hAnsi="Cambria" w:cs="Times New Roman"/>
          <w:b/>
          <w:color w:val="auto"/>
          <w:sz w:val="20"/>
          <w:szCs w:val="22"/>
        </w:rPr>
        <w:t>Core principles of smart specialisation strategies</w:t>
      </w:r>
    </w:p>
    <w:p w:rsidR="007A2A81" w:rsidRPr="00B044E4" w:rsidRDefault="007A2A81" w:rsidP="00CA379D">
      <w:pPr>
        <w:spacing w:after="0" w:line="240" w:lineRule="auto"/>
        <w:jc w:val="both"/>
        <w:rPr>
          <w:rFonts w:ascii="Cambria" w:hAnsi="Cambria" w:cs="Times New Roman"/>
        </w:rPr>
      </w:pPr>
    </w:p>
    <w:p w:rsidR="00CB1382" w:rsidRPr="00B044E4" w:rsidRDefault="00CB1382" w:rsidP="00CA379D">
      <w:pPr>
        <w:spacing w:after="0" w:line="240" w:lineRule="auto"/>
        <w:jc w:val="both"/>
        <w:rPr>
          <w:rFonts w:ascii="Cambria" w:hAnsi="Cambria" w:cs="Times New Roman"/>
        </w:rPr>
      </w:pPr>
      <w:r w:rsidRPr="00B044E4">
        <w:rPr>
          <w:rFonts w:ascii="Cambria" w:hAnsi="Cambria" w:cs="Times New Roman"/>
        </w:rPr>
        <w:lastRenderedPageBreak/>
        <w:t>Smart special</w:t>
      </w:r>
      <w:r w:rsidR="00350AB9" w:rsidRPr="00B044E4">
        <w:rPr>
          <w:rFonts w:ascii="Cambria" w:hAnsi="Cambria" w:cs="Times New Roman"/>
        </w:rPr>
        <w:t>isation strategies became an ex</w:t>
      </w:r>
      <w:r w:rsidRPr="00B044E4">
        <w:rPr>
          <w:rFonts w:ascii="Cambria" w:hAnsi="Cambria" w:cs="Times New Roman"/>
        </w:rPr>
        <w:t>ante conditionality for public investments in research and innovation</w:t>
      </w:r>
      <w:r w:rsidR="00C31ABE" w:rsidRPr="00B044E4">
        <w:rPr>
          <w:rFonts w:ascii="Cambria" w:hAnsi="Cambria" w:cs="Times New Roman"/>
        </w:rPr>
        <w:t xml:space="preserve"> and smart growth</w:t>
      </w:r>
      <w:r w:rsidR="00350AB9" w:rsidRPr="00B044E4">
        <w:rPr>
          <w:rFonts w:ascii="Cambria" w:hAnsi="Cambria" w:cs="Times New Roman"/>
        </w:rPr>
        <w:t>. Conditionalities are policy and regulatory frameworks that ensure national and regional strategies are of high quality and in line with standards commonly agre</w:t>
      </w:r>
      <w:r w:rsidR="00C31ABE" w:rsidRPr="00B044E4">
        <w:rPr>
          <w:rFonts w:ascii="Cambria" w:hAnsi="Cambria" w:cs="Times New Roman"/>
        </w:rPr>
        <w:t>ed by Member States at EU level;</w:t>
      </w:r>
      <w:r w:rsidR="00350AB9" w:rsidRPr="00B044E4">
        <w:rPr>
          <w:rFonts w:ascii="Cambria" w:hAnsi="Cambria" w:cs="Times New Roman"/>
        </w:rPr>
        <w:t xml:space="preserve"> comply with the EU acquis; and are based on sufficient administrative and institutional capacity</w:t>
      </w:r>
      <w:r w:rsidR="00C31ABE" w:rsidRPr="00B044E4">
        <w:rPr>
          <w:rFonts w:ascii="Cambria" w:hAnsi="Cambria" w:cs="Times New Roman"/>
        </w:rPr>
        <w:t xml:space="preserve"> (European Commission, 2013;</w:t>
      </w:r>
      <w:r w:rsidRPr="00B044E4">
        <w:rPr>
          <w:rFonts w:ascii="Cambria" w:hAnsi="Cambria" w:cs="Times New Roman"/>
        </w:rPr>
        <w:t xml:space="preserve"> </w:t>
      </w:r>
      <w:r w:rsidR="00C31ABE" w:rsidRPr="00B044E4">
        <w:rPr>
          <w:rFonts w:ascii="Cambria" w:hAnsi="Cambria" w:cs="Times New Roman"/>
        </w:rPr>
        <w:t>Komninos, 2016; Pessoa, 2016; Griniece et al., 2017).</w:t>
      </w:r>
    </w:p>
    <w:p w:rsidR="00350AB9" w:rsidRPr="00B044E4" w:rsidRDefault="00350AB9" w:rsidP="00CA379D">
      <w:pPr>
        <w:spacing w:after="0" w:line="240" w:lineRule="auto"/>
        <w:jc w:val="both"/>
        <w:rPr>
          <w:rFonts w:ascii="Cambria" w:hAnsi="Cambria" w:cs="Times New Roman"/>
        </w:rPr>
      </w:pPr>
    </w:p>
    <w:p w:rsidR="007A2A81" w:rsidRPr="00B044E4" w:rsidRDefault="007A2A81" w:rsidP="00CA379D">
      <w:pPr>
        <w:spacing w:after="0" w:line="240" w:lineRule="auto"/>
        <w:rPr>
          <w:rFonts w:ascii="Cambria" w:hAnsi="Cambria" w:cs="Times New Roman"/>
        </w:rPr>
      </w:pPr>
    </w:p>
    <w:p w:rsidR="00EE3E92" w:rsidRPr="00B044E4" w:rsidRDefault="00EE3E92" w:rsidP="00CA379D">
      <w:pPr>
        <w:pStyle w:val="Heading2"/>
        <w:spacing w:before="0"/>
        <w:rPr>
          <w:rFonts w:ascii="Cambria" w:hAnsi="Cambria"/>
          <w:sz w:val="24"/>
          <w:szCs w:val="24"/>
        </w:rPr>
      </w:pPr>
      <w:r w:rsidRPr="00B044E4">
        <w:rPr>
          <w:rFonts w:ascii="Cambria" w:hAnsi="Cambria"/>
          <w:color w:val="0070C0"/>
          <w:sz w:val="32"/>
          <w:szCs w:val="24"/>
        </w:rPr>
        <w:t>3. RIS3 in retrospect and prospect</w:t>
      </w:r>
    </w:p>
    <w:p w:rsidR="003111B8" w:rsidRPr="00B044E4" w:rsidRDefault="003111B8" w:rsidP="00CA379D">
      <w:pPr>
        <w:spacing w:after="0" w:line="240" w:lineRule="auto"/>
        <w:rPr>
          <w:rFonts w:ascii="Cambria" w:hAnsi="Cambria"/>
          <w:sz w:val="24"/>
          <w:szCs w:val="24"/>
        </w:rPr>
      </w:pPr>
    </w:p>
    <w:p w:rsidR="00EE3E92" w:rsidRPr="00DD57B3" w:rsidRDefault="00EE3E92" w:rsidP="00761DF1">
      <w:pPr>
        <w:pStyle w:val="Heading3"/>
        <w:spacing w:before="0"/>
        <w:rPr>
          <w:rFonts w:ascii="Cambria" w:hAnsi="Cambria"/>
          <w:b/>
          <w:color w:val="auto"/>
          <w:sz w:val="22"/>
          <w:szCs w:val="22"/>
        </w:rPr>
      </w:pPr>
      <w:r w:rsidRPr="00DD57B3">
        <w:rPr>
          <w:rFonts w:ascii="Cambria" w:hAnsi="Cambria"/>
          <w:b/>
          <w:color w:val="auto"/>
          <w:sz w:val="22"/>
          <w:szCs w:val="22"/>
        </w:rPr>
        <w:t>RIS3 before the current programming period (2014-2020) and in its early years</w:t>
      </w:r>
    </w:p>
    <w:p w:rsidR="00EE3E92" w:rsidRPr="00B044E4" w:rsidRDefault="00EE3E92" w:rsidP="00CA379D">
      <w:pPr>
        <w:spacing w:after="0" w:line="240" w:lineRule="auto"/>
        <w:jc w:val="both"/>
        <w:rPr>
          <w:rFonts w:ascii="Cambria" w:hAnsi="Cambria"/>
        </w:rPr>
      </w:pPr>
      <w:r w:rsidRPr="00B044E4">
        <w:rPr>
          <w:rFonts w:ascii="Cambria" w:hAnsi="Cambria"/>
        </w:rPr>
        <w:t xml:space="preserve">The RIS3 was originally conceived of as comprising the entrepreneurial process of discovery (EDP) that would involve regions in a learning process resulting in decision on specialisation areas (Foray, David, and Hall, 2009: 2). Through the EDP, RIS3 has proved to be quite successful in encouraging stakeholders’ interaction, widening their participation, enabling more efficient functioning of multi-level governance, as well as enabling continuity of the process of planning and execution of a regional innovation strategy (see Gianelle et al., 2016). </w:t>
      </w:r>
    </w:p>
    <w:p w:rsidR="007A2A81" w:rsidRPr="00B044E4" w:rsidRDefault="007A2A81" w:rsidP="00CA379D">
      <w:pPr>
        <w:spacing w:after="0" w:line="240" w:lineRule="auto"/>
        <w:jc w:val="both"/>
        <w:rPr>
          <w:rFonts w:ascii="Cambria" w:hAnsi="Cambria"/>
        </w:rPr>
      </w:pPr>
    </w:p>
    <w:p w:rsidR="00EE3E92" w:rsidRPr="00B044E4" w:rsidRDefault="00EE3E92" w:rsidP="00CA379D">
      <w:pPr>
        <w:spacing w:after="0" w:line="240" w:lineRule="auto"/>
        <w:jc w:val="both"/>
        <w:rPr>
          <w:rFonts w:ascii="Cambria" w:hAnsi="Cambria"/>
        </w:rPr>
      </w:pPr>
      <w:r w:rsidRPr="00B044E4">
        <w:rPr>
          <w:rFonts w:ascii="Cambria" w:hAnsi="Cambria"/>
        </w:rPr>
        <w:t xml:space="preserve">However, there are issues concerning design and implementation of RIS3 when it comes to their underlying methodology. A survey of nine countries and twenty-one regions in Europe showed that the phases of the RIS3 were not followed sequentially nor linearly (Griniece et al., 2017). Furthermore, ‘the mapping exercise also highlighted that the robustness of methodological approaches varied and </w:t>
      </w:r>
      <w:r w:rsidRPr="00B044E4">
        <w:rPr>
          <w:rFonts w:ascii="Cambria" w:hAnsi="Cambria"/>
          <w:bCs/>
        </w:rPr>
        <w:t>in many regions even the key concepts of the various RIS3 steps were not (fully) understood</w:t>
      </w:r>
      <w:r w:rsidRPr="00B044E4">
        <w:rPr>
          <w:rFonts w:ascii="Cambria" w:hAnsi="Cambria"/>
        </w:rPr>
        <w:t>’ (Griniece et al., 2016. 6; emphasis removed). Furthermore, very few online tools were used for designing RIS3 (Griniece et al., 2016: 7) at the time. Tools widely available until 2016 were quite limited in scope and came from the European Commission’s sources.</w:t>
      </w:r>
    </w:p>
    <w:p w:rsidR="007A2A81" w:rsidRPr="00B044E4" w:rsidRDefault="007A2A81" w:rsidP="00CA379D">
      <w:pPr>
        <w:spacing w:after="0" w:line="240" w:lineRule="auto"/>
        <w:jc w:val="both"/>
        <w:rPr>
          <w:rFonts w:ascii="Cambria" w:hAnsi="Cambria"/>
        </w:rPr>
      </w:pPr>
    </w:p>
    <w:p w:rsidR="00EE3E92" w:rsidRPr="00B044E4" w:rsidRDefault="00802CBC" w:rsidP="00CA379D">
      <w:pPr>
        <w:spacing w:after="0" w:line="240" w:lineRule="auto"/>
        <w:jc w:val="both"/>
        <w:rPr>
          <w:rFonts w:ascii="Cambria" w:hAnsi="Cambria"/>
        </w:rPr>
      </w:pPr>
      <w:r w:rsidRPr="00B044E4">
        <w:rPr>
          <w:rFonts w:ascii="Cambria" w:hAnsi="Cambria"/>
        </w:rPr>
        <w:t xml:space="preserve">Applications </w:t>
      </w:r>
      <w:r w:rsidR="00EE3E92" w:rsidRPr="00B044E4">
        <w:rPr>
          <w:rFonts w:ascii="Cambria" w:hAnsi="Cambria"/>
        </w:rPr>
        <w:t xml:space="preserve">of the Online S3 platform (see </w:t>
      </w:r>
      <w:hyperlink r:id="rId17" w:history="1">
        <w:r w:rsidR="00EE3E92" w:rsidRPr="00B044E4">
          <w:rPr>
            <w:rStyle w:val="Hyperlink"/>
            <w:rFonts w:ascii="Cambria" w:hAnsi="Cambria"/>
          </w:rPr>
          <w:t>www.s3platform.eu</w:t>
        </w:r>
      </w:hyperlink>
      <w:r w:rsidR="00EE3E92" w:rsidRPr="00B044E4">
        <w:rPr>
          <w:rFonts w:ascii="Cambria" w:hAnsi="Cambria"/>
        </w:rPr>
        <w:t>) have been developed to cover all phases of RIS3, from analysis of context, governance, strategy formulation, priority setting, policy mix, to monitoring and evaluation (for description of the phases see Foray et al., 2012), and include twenty-eight tools. As there are regions and countries that do not have a quality of governance at the level required to meet the challenges of the RIS3, these online tools can support the process. In addition, there are four ‘roadmaps’ developed by the Online S3 platform (</w:t>
      </w:r>
      <w:hyperlink r:id="rId18" w:history="1">
        <w:r w:rsidR="00EE3E92" w:rsidRPr="00B044E4">
          <w:rPr>
            <w:rStyle w:val="Hyperlink"/>
            <w:rFonts w:ascii="Cambria" w:hAnsi="Cambria"/>
          </w:rPr>
          <w:t>www.s3platform.eu/roadmaps</w:t>
        </w:r>
      </w:hyperlink>
      <w:r w:rsidR="00EE3E92" w:rsidRPr="00B044E4">
        <w:rPr>
          <w:rFonts w:ascii="Cambria" w:hAnsi="Cambria"/>
        </w:rPr>
        <w:t xml:space="preserve">), and that allow users to learn about and work on RIS3 in an intuitive and simple way, while working with </w:t>
      </w:r>
      <w:r w:rsidRPr="00B044E4">
        <w:rPr>
          <w:rFonts w:ascii="Cambria" w:hAnsi="Cambria"/>
        </w:rPr>
        <w:t>and combining the online tools available to address specific problems and challenges.</w:t>
      </w:r>
    </w:p>
    <w:p w:rsidR="001B0883" w:rsidRPr="00B044E4" w:rsidRDefault="001B0883" w:rsidP="00CA379D">
      <w:pPr>
        <w:spacing w:after="0" w:line="240" w:lineRule="auto"/>
        <w:jc w:val="both"/>
        <w:rPr>
          <w:rFonts w:ascii="Cambria" w:hAnsi="Cambria"/>
        </w:rPr>
      </w:pPr>
    </w:p>
    <w:p w:rsidR="00EE3E92" w:rsidRPr="00B044E4" w:rsidRDefault="00EE3E92" w:rsidP="00CA379D">
      <w:pPr>
        <w:spacing w:after="0" w:line="240" w:lineRule="auto"/>
        <w:jc w:val="both"/>
        <w:rPr>
          <w:rFonts w:ascii="Cambria" w:hAnsi="Cambria"/>
        </w:rPr>
      </w:pPr>
      <w:r w:rsidRPr="00B044E4">
        <w:rPr>
          <w:rFonts w:ascii="Cambria" w:hAnsi="Cambria"/>
        </w:rPr>
        <w:t xml:space="preserve">There are two basic issues with the online tools for RIS3. Online tools are generally faced with a bottleneck with regard to a general shortage of data that can be used for the design and implementation of RIS3 at the EU level. In addition, Griniece et al. (2016: 4) recognise a need for real-time data gathering and data visualisations that may help the entrepreneurial discovery process (EDP). </w:t>
      </w:r>
    </w:p>
    <w:p w:rsidR="007A2A81" w:rsidRPr="00B044E4" w:rsidRDefault="007A2A81" w:rsidP="00CA379D">
      <w:pPr>
        <w:pStyle w:val="Heading3"/>
        <w:spacing w:before="0" w:after="0"/>
        <w:rPr>
          <w:rFonts w:ascii="Cambria" w:hAnsi="Cambria"/>
          <w:b/>
          <w:sz w:val="22"/>
          <w:szCs w:val="22"/>
        </w:rPr>
      </w:pPr>
    </w:p>
    <w:p w:rsidR="00EE3E92" w:rsidRPr="00761DF1" w:rsidRDefault="00EE3E92" w:rsidP="00761DF1">
      <w:pPr>
        <w:pStyle w:val="Heading3"/>
        <w:spacing w:before="0"/>
        <w:rPr>
          <w:rFonts w:ascii="Cambria" w:hAnsi="Cambria"/>
          <w:b/>
          <w:color w:val="auto"/>
          <w:sz w:val="22"/>
          <w:szCs w:val="22"/>
        </w:rPr>
      </w:pPr>
      <w:r w:rsidRPr="00761DF1">
        <w:rPr>
          <w:rFonts w:ascii="Cambria" w:hAnsi="Cambria"/>
          <w:b/>
          <w:color w:val="auto"/>
          <w:sz w:val="22"/>
          <w:szCs w:val="22"/>
        </w:rPr>
        <w:t>Towards RIS3 in the next programming period</w:t>
      </w:r>
    </w:p>
    <w:p w:rsidR="00EE3E92" w:rsidRPr="00B044E4" w:rsidRDefault="00EE3E92" w:rsidP="00CA379D">
      <w:pPr>
        <w:spacing w:after="0" w:line="240" w:lineRule="auto"/>
        <w:jc w:val="both"/>
        <w:rPr>
          <w:rFonts w:ascii="Cambria" w:hAnsi="Cambria"/>
        </w:rPr>
      </w:pPr>
      <w:r w:rsidRPr="00B044E4">
        <w:rPr>
          <w:rFonts w:ascii="Cambria" w:hAnsi="Cambria"/>
        </w:rPr>
        <w:t>Currently, all new industrial and innovation policies – including policies of smart specialisation – share certain characteristics that confine them to the sphere of the private sector, actors of an innovation syst</w:t>
      </w:r>
      <w:r w:rsidR="005640DA" w:rsidRPr="00B044E4">
        <w:rPr>
          <w:rFonts w:ascii="Cambria" w:hAnsi="Cambria"/>
        </w:rPr>
        <w:t>em, and markets in general (</w:t>
      </w:r>
      <w:r w:rsidRPr="00B044E4">
        <w:rPr>
          <w:rFonts w:ascii="Cambria" w:hAnsi="Cambria"/>
        </w:rPr>
        <w:t xml:space="preserve">Radosevic, 2017). Societal stakeholders are not as involved in EDP as they should be (Marinelli and Perianez Forte, 2017). This essentially limits those policies as regards the choice of innovations that RIS3 focuses on. However, social </w:t>
      </w:r>
      <w:r w:rsidRPr="00B044E4">
        <w:rPr>
          <w:rFonts w:ascii="Cambria" w:hAnsi="Cambria"/>
        </w:rPr>
        <w:lastRenderedPageBreak/>
        <w:t>innovations that have wide-ranging effects on well-being and that essentially create enabling conditions for other innovations themselves, should be taken into consideration</w:t>
      </w:r>
      <w:r w:rsidRPr="00B044E4">
        <w:rPr>
          <w:rStyle w:val="FootnoteReference"/>
          <w:rFonts w:ascii="Cambria" w:hAnsi="Cambria"/>
        </w:rPr>
        <w:footnoteReference w:id="1"/>
      </w:r>
      <w:r w:rsidRPr="00B044E4">
        <w:rPr>
          <w:rFonts w:ascii="Cambria" w:hAnsi="Cambria"/>
        </w:rPr>
        <w:t xml:space="preserve">. </w:t>
      </w:r>
    </w:p>
    <w:p w:rsidR="001B0883" w:rsidRPr="00B044E4" w:rsidRDefault="001B0883" w:rsidP="00CA379D">
      <w:pPr>
        <w:spacing w:after="0" w:line="240" w:lineRule="auto"/>
        <w:jc w:val="both"/>
        <w:rPr>
          <w:rFonts w:ascii="Cambria" w:hAnsi="Cambria"/>
        </w:rPr>
      </w:pPr>
    </w:p>
    <w:p w:rsidR="00EE3E92" w:rsidRPr="00B044E4" w:rsidRDefault="00EE3E92" w:rsidP="00CA379D">
      <w:pPr>
        <w:spacing w:after="0" w:line="240" w:lineRule="auto"/>
        <w:jc w:val="both"/>
        <w:rPr>
          <w:rFonts w:ascii="Cambria" w:hAnsi="Cambria"/>
        </w:rPr>
      </w:pPr>
      <w:r w:rsidRPr="00B044E4">
        <w:rPr>
          <w:rFonts w:ascii="Cambria" w:hAnsi="Cambria"/>
        </w:rPr>
        <w:t>RIS3 should ideally be more integrative among R&amp;D-driven innovation policy, cohesion policy, European value chains and networking initiatives, industrial policy, and grand challenges policy (Foray, Morgan and Radosevic, n. d.: 4-5). This is consistent with mission-oriented policies</w:t>
      </w:r>
      <w:r w:rsidRPr="00B044E4">
        <w:rPr>
          <w:rStyle w:val="FootnoteReference"/>
          <w:rFonts w:ascii="Cambria" w:hAnsi="Cambria"/>
        </w:rPr>
        <w:footnoteReference w:id="2"/>
      </w:r>
      <w:r w:rsidRPr="00B044E4">
        <w:rPr>
          <w:rFonts w:ascii="Cambria" w:hAnsi="Cambria"/>
        </w:rPr>
        <w:t xml:space="preserve"> in the field of R&amp;I that should have societal relevance and be multi-sectoral in nature (Mazzucato, 2018). That way RIS3 would expand the boundaries of its current scope and scale. </w:t>
      </w:r>
    </w:p>
    <w:p w:rsidR="001B0883" w:rsidRPr="00B044E4" w:rsidRDefault="001B0883" w:rsidP="00CA379D">
      <w:pPr>
        <w:spacing w:after="0" w:line="240" w:lineRule="auto"/>
        <w:jc w:val="both"/>
        <w:rPr>
          <w:rFonts w:ascii="Cambria" w:hAnsi="Cambria"/>
        </w:rPr>
      </w:pPr>
    </w:p>
    <w:p w:rsidR="00EE3E92" w:rsidRPr="00B044E4" w:rsidRDefault="00EE3E92" w:rsidP="00CA379D">
      <w:pPr>
        <w:spacing w:after="0" w:line="240" w:lineRule="auto"/>
        <w:jc w:val="both"/>
        <w:rPr>
          <w:rFonts w:ascii="Cambria" w:hAnsi="Cambria"/>
        </w:rPr>
      </w:pPr>
      <w:r w:rsidRPr="00B044E4">
        <w:rPr>
          <w:rFonts w:ascii="Cambria" w:hAnsi="Cambria"/>
        </w:rPr>
        <w:t>This has been recognised by the European Commission. Hence for the next programming period (2021-2027), it proposes, among other things (2018a): ‘</w:t>
      </w:r>
      <w:r w:rsidRPr="00B044E4">
        <w:rPr>
          <w:rFonts w:ascii="Cambria" w:hAnsi="Cambria"/>
          <w:i/>
        </w:rPr>
        <w:t>The bulk of European Regional Development Fund and Cohesion Fund investments will go towards innovation, support to small businesses, digital technologies and industrial modernisation. It will also go to the shift towards a low-carbon, circular economy and the fight against climate change, delivering on the Paris Agreement</w:t>
      </w:r>
      <w:r w:rsidR="005640DA" w:rsidRPr="00B044E4">
        <w:rPr>
          <w:rFonts w:ascii="Cambria" w:hAnsi="Cambria"/>
        </w:rPr>
        <w:t>”</w:t>
      </w:r>
      <w:r w:rsidRPr="00B044E4">
        <w:rPr>
          <w:rFonts w:ascii="Cambria" w:hAnsi="Cambria"/>
        </w:rPr>
        <w:t xml:space="preserve">. Smart specialisation strategy in the next programming period will focus on several enabling conditions listed below, for the ERDF fund (European Commission, 2018: 19): </w:t>
      </w:r>
      <w:r w:rsidR="005640DA" w:rsidRPr="00B044E4">
        <w:rPr>
          <w:rFonts w:ascii="Cambria" w:eastAsia="Times New Roman" w:hAnsi="Cambria" w:cstheme="minorHAnsi"/>
        </w:rPr>
        <w:t>“</w:t>
      </w:r>
      <w:r w:rsidRPr="00B044E4">
        <w:rPr>
          <w:rFonts w:ascii="Cambria" w:eastAsia="Times New Roman" w:hAnsi="Cambria" w:cstheme="minorHAnsi"/>
          <w:i/>
        </w:rPr>
        <w:t xml:space="preserve">1. Up-to-date analysis of bottlenecks for innovation diffusion, including digitalisation 2. Existence of competent regional / national institution or body, responsible for the management of the smart specialisation strategy 3. Monitoring and evaluation tools to measure performance towards the objectives of the strategy 4. Effective functioning of entrepreneurial discovery process 5. Actions necessary to improve national or regional research and innovation systems 6. Actions to manage industrial transition 7. Measures </w:t>
      </w:r>
      <w:r w:rsidR="005640DA" w:rsidRPr="00B044E4">
        <w:rPr>
          <w:rFonts w:ascii="Cambria" w:eastAsia="Times New Roman" w:hAnsi="Cambria" w:cstheme="minorHAnsi"/>
          <w:i/>
        </w:rPr>
        <w:t>for international collaboration”</w:t>
      </w:r>
      <w:r w:rsidRPr="00B044E4">
        <w:rPr>
          <w:rFonts w:ascii="Cambria" w:eastAsia="Times New Roman" w:hAnsi="Cambria" w:cstheme="minorHAnsi"/>
        </w:rPr>
        <w:t xml:space="preserve">. </w:t>
      </w:r>
    </w:p>
    <w:p w:rsidR="001B0883" w:rsidRPr="00B044E4" w:rsidRDefault="001B0883" w:rsidP="00CA379D">
      <w:pPr>
        <w:pStyle w:val="Heading3"/>
        <w:spacing w:before="0" w:after="0"/>
        <w:rPr>
          <w:rFonts w:ascii="Cambria" w:hAnsi="Cambria"/>
          <w:b/>
          <w:sz w:val="22"/>
          <w:szCs w:val="22"/>
        </w:rPr>
      </w:pPr>
    </w:p>
    <w:p w:rsidR="00EE3E92" w:rsidRPr="00761DF1" w:rsidRDefault="00E11834" w:rsidP="0030720F">
      <w:pPr>
        <w:pStyle w:val="Heading3"/>
        <w:keepNext w:val="0"/>
        <w:keepLines w:val="0"/>
        <w:spacing w:before="0"/>
        <w:rPr>
          <w:rFonts w:ascii="Cambria" w:hAnsi="Cambria"/>
          <w:b/>
          <w:color w:val="auto"/>
          <w:sz w:val="22"/>
          <w:szCs w:val="22"/>
        </w:rPr>
      </w:pPr>
      <w:r w:rsidRPr="00761DF1">
        <w:rPr>
          <w:rFonts w:ascii="Cambria" w:hAnsi="Cambria"/>
          <w:b/>
          <w:color w:val="auto"/>
          <w:sz w:val="22"/>
          <w:szCs w:val="22"/>
        </w:rPr>
        <w:t>Current c</w:t>
      </w:r>
      <w:r w:rsidR="00EE3E92" w:rsidRPr="00761DF1">
        <w:rPr>
          <w:rFonts w:ascii="Cambria" w:hAnsi="Cambria"/>
          <w:b/>
          <w:color w:val="auto"/>
          <w:sz w:val="22"/>
          <w:szCs w:val="22"/>
        </w:rPr>
        <w:t xml:space="preserve">hallenges of RIS3 </w:t>
      </w:r>
    </w:p>
    <w:p w:rsidR="00EE3E92" w:rsidRPr="00B044E4" w:rsidRDefault="00EE3E92" w:rsidP="00CA379D">
      <w:pPr>
        <w:spacing w:after="0" w:line="240" w:lineRule="auto"/>
        <w:jc w:val="both"/>
        <w:rPr>
          <w:rFonts w:ascii="Cambria" w:hAnsi="Cambria"/>
        </w:rPr>
      </w:pPr>
      <w:r w:rsidRPr="00B044E4">
        <w:rPr>
          <w:rFonts w:ascii="Cambria" w:hAnsi="Cambria"/>
        </w:rPr>
        <w:t>The expansion of the RIS3 goals that should encompass societal challenges, and of its approach that should</w:t>
      </w:r>
      <w:r w:rsidR="00163235" w:rsidRPr="00B044E4">
        <w:rPr>
          <w:rFonts w:ascii="Cambria" w:hAnsi="Cambria"/>
        </w:rPr>
        <w:t xml:space="preserve"> be more integrative</w:t>
      </w:r>
      <w:r w:rsidRPr="00B044E4">
        <w:rPr>
          <w:rFonts w:ascii="Cambria" w:hAnsi="Cambria"/>
        </w:rPr>
        <w:t xml:space="preserve"> has repercussion on the analysis and on governance accompanying the process. With demands for industrial upgrading posed by digitalisation trends and key enabling technologies RIS3 of the future needs to change. While aforementioned issues with RIS3 remain, new ones are potentially added to the picture, in anticipation of the RIS3 arrangements for the programming period 2021-2027.   </w:t>
      </w:r>
    </w:p>
    <w:p w:rsidR="001B0883" w:rsidRPr="00B044E4" w:rsidRDefault="001B0883" w:rsidP="00CA379D">
      <w:pPr>
        <w:spacing w:after="0" w:line="240" w:lineRule="auto"/>
        <w:jc w:val="both"/>
        <w:rPr>
          <w:rFonts w:ascii="Cambria" w:hAnsi="Cambria"/>
        </w:rPr>
      </w:pPr>
    </w:p>
    <w:p w:rsidR="00EE3E92" w:rsidRPr="00B044E4" w:rsidRDefault="00EE3E92" w:rsidP="00CA379D">
      <w:pPr>
        <w:spacing w:after="0" w:line="240" w:lineRule="auto"/>
        <w:jc w:val="both"/>
        <w:rPr>
          <w:rFonts w:ascii="Cambria" w:hAnsi="Cambria"/>
        </w:rPr>
      </w:pPr>
      <w:r w:rsidRPr="00B044E4">
        <w:rPr>
          <w:rFonts w:ascii="Cambria" w:hAnsi="Cambria"/>
        </w:rPr>
        <w:t xml:space="preserve">Firstly, as many of the aforementioned fulfilment criteria for the RIS3 enabling conditions generally require better governance (criterion 2, 3, 4, and indirectly also other points on the list), monitoring of governance during the process of design and implementation of RIS3 should be implemented. With a wider definition of innovations and the RIS3 that is truly multi-sectoral and long-term, the process of governance gets more complex and more demanding to follow. </w:t>
      </w:r>
    </w:p>
    <w:p w:rsidR="001B0883" w:rsidRPr="00B044E4" w:rsidRDefault="001B0883" w:rsidP="00507656">
      <w:pPr>
        <w:spacing w:after="0" w:line="240" w:lineRule="auto"/>
        <w:jc w:val="both"/>
        <w:rPr>
          <w:rFonts w:ascii="Cambria" w:hAnsi="Cambria"/>
        </w:rPr>
      </w:pPr>
    </w:p>
    <w:p w:rsidR="00EE3E92" w:rsidRPr="00B044E4" w:rsidRDefault="00EE3E92" w:rsidP="00CA379D">
      <w:pPr>
        <w:spacing w:after="0" w:line="240" w:lineRule="auto"/>
        <w:jc w:val="both"/>
        <w:rPr>
          <w:rFonts w:ascii="Cambria" w:hAnsi="Cambria"/>
        </w:rPr>
      </w:pPr>
      <w:r w:rsidRPr="00B044E4">
        <w:rPr>
          <w:rFonts w:ascii="Cambria" w:hAnsi="Cambria"/>
        </w:rPr>
        <w:t>Secondly, monitoring and evaluation of RIS3 will require better databases that should not just provide more up-to-date data, but also allow for an analysis of main societal challenges. A proper multi-level governance RIS3 would enable comparison of data across regions and member states of the EU.</w:t>
      </w:r>
    </w:p>
    <w:p w:rsidR="001B0883" w:rsidRPr="00B044E4" w:rsidRDefault="001B0883" w:rsidP="00CA379D">
      <w:pPr>
        <w:spacing w:after="0" w:line="240" w:lineRule="auto"/>
        <w:jc w:val="both"/>
        <w:rPr>
          <w:rFonts w:ascii="Cambria" w:hAnsi="Cambria"/>
        </w:rPr>
      </w:pPr>
    </w:p>
    <w:p w:rsidR="00EE3E92" w:rsidRDefault="00EE3E92" w:rsidP="00CA379D">
      <w:pPr>
        <w:spacing w:after="0" w:line="240" w:lineRule="auto"/>
        <w:jc w:val="both"/>
        <w:rPr>
          <w:rFonts w:ascii="Cambria" w:hAnsi="Cambria"/>
        </w:rPr>
      </w:pPr>
      <w:r w:rsidRPr="00B044E4">
        <w:rPr>
          <w:rFonts w:ascii="Cambria" w:hAnsi="Cambria"/>
        </w:rPr>
        <w:t>Thirdly, there is a need for tools capable of analysing innovation diffusion and their bottlenecks. This applies in particular to the sphere of digitalisation</w:t>
      </w:r>
      <w:r w:rsidRPr="00B044E4">
        <w:rPr>
          <w:rStyle w:val="FootnoteReference"/>
          <w:rFonts w:ascii="Cambria" w:hAnsi="Cambria"/>
        </w:rPr>
        <w:footnoteReference w:id="3"/>
      </w:r>
      <w:r w:rsidRPr="00B044E4">
        <w:rPr>
          <w:rFonts w:ascii="Cambria" w:hAnsi="Cambria"/>
        </w:rPr>
        <w:t>, transformative potential of which is still largely untapped.</w:t>
      </w:r>
    </w:p>
    <w:p w:rsidR="00CA379D" w:rsidRDefault="00CA379D" w:rsidP="00CA379D">
      <w:pPr>
        <w:spacing w:after="0" w:line="240" w:lineRule="auto"/>
        <w:jc w:val="both"/>
        <w:rPr>
          <w:rFonts w:ascii="Cambria" w:hAnsi="Cambria"/>
        </w:rPr>
      </w:pPr>
    </w:p>
    <w:p w:rsidR="001B0883" w:rsidRPr="00B044E4" w:rsidRDefault="001B0883" w:rsidP="00CA379D">
      <w:pPr>
        <w:spacing w:after="0" w:line="240" w:lineRule="auto"/>
        <w:rPr>
          <w:rFonts w:ascii="Cambria" w:hAnsi="Cambria" w:cs="Times New Roman"/>
          <w:color w:val="0070C0"/>
          <w:sz w:val="32"/>
          <w:szCs w:val="24"/>
        </w:rPr>
      </w:pPr>
      <w:r w:rsidRPr="00B044E4">
        <w:rPr>
          <w:rFonts w:ascii="Cambria" w:hAnsi="Cambria" w:cs="Times New Roman"/>
          <w:color w:val="0070C0"/>
          <w:sz w:val="32"/>
          <w:szCs w:val="24"/>
        </w:rPr>
        <w:lastRenderedPageBreak/>
        <w:t xml:space="preserve">4. Moving </w:t>
      </w:r>
      <w:r w:rsidR="007305A7" w:rsidRPr="00B044E4">
        <w:rPr>
          <w:rFonts w:ascii="Cambria" w:hAnsi="Cambria" w:cs="Times New Roman"/>
          <w:color w:val="0070C0"/>
          <w:sz w:val="32"/>
          <w:szCs w:val="24"/>
        </w:rPr>
        <w:t xml:space="preserve">RIS3 </w:t>
      </w:r>
      <w:r w:rsidRPr="00B044E4">
        <w:rPr>
          <w:rFonts w:ascii="Cambria" w:hAnsi="Cambria" w:cs="Times New Roman"/>
          <w:color w:val="0070C0"/>
          <w:sz w:val="32"/>
          <w:szCs w:val="24"/>
        </w:rPr>
        <w:t>forw</w:t>
      </w:r>
      <w:r w:rsidR="00CE1D86" w:rsidRPr="00B044E4">
        <w:rPr>
          <w:rFonts w:ascii="Cambria" w:hAnsi="Cambria" w:cs="Times New Roman"/>
          <w:color w:val="0070C0"/>
          <w:sz w:val="32"/>
          <w:szCs w:val="24"/>
        </w:rPr>
        <w:t>ard by</w:t>
      </w:r>
      <w:r w:rsidRPr="00B044E4">
        <w:rPr>
          <w:rFonts w:ascii="Cambria" w:hAnsi="Cambria" w:cs="Times New Roman"/>
          <w:color w:val="0070C0"/>
          <w:sz w:val="32"/>
          <w:szCs w:val="24"/>
        </w:rPr>
        <w:t xml:space="preserve"> data</w:t>
      </w:r>
      <w:r w:rsidR="00CE1D86" w:rsidRPr="00B044E4">
        <w:rPr>
          <w:rFonts w:ascii="Cambria" w:hAnsi="Cambria" w:cs="Times New Roman"/>
          <w:color w:val="0070C0"/>
          <w:sz w:val="32"/>
          <w:szCs w:val="24"/>
        </w:rPr>
        <w:t xml:space="preserve">sets </w:t>
      </w:r>
      <w:r w:rsidRPr="00B044E4">
        <w:rPr>
          <w:rFonts w:ascii="Cambria" w:hAnsi="Cambria" w:cs="Times New Roman"/>
          <w:color w:val="0070C0"/>
          <w:sz w:val="32"/>
          <w:szCs w:val="24"/>
        </w:rPr>
        <w:t xml:space="preserve">and </w:t>
      </w:r>
      <w:r w:rsidR="00CE1D86" w:rsidRPr="00B044E4">
        <w:rPr>
          <w:rFonts w:ascii="Cambria" w:hAnsi="Cambria" w:cs="Times New Roman"/>
          <w:color w:val="0070C0"/>
          <w:sz w:val="32"/>
          <w:szCs w:val="24"/>
        </w:rPr>
        <w:t>software</w:t>
      </w:r>
    </w:p>
    <w:p w:rsidR="001B0883" w:rsidRDefault="001B0883" w:rsidP="00CA379D">
      <w:pPr>
        <w:spacing w:after="0" w:line="240" w:lineRule="auto"/>
        <w:rPr>
          <w:rFonts w:ascii="Cambria" w:hAnsi="Cambria"/>
          <w:sz w:val="24"/>
          <w:szCs w:val="24"/>
        </w:rPr>
      </w:pPr>
    </w:p>
    <w:p w:rsidR="00CA379D" w:rsidRPr="0058477D" w:rsidRDefault="00CA379D" w:rsidP="00507656">
      <w:pPr>
        <w:spacing w:after="0" w:line="240" w:lineRule="auto"/>
        <w:jc w:val="both"/>
        <w:rPr>
          <w:rFonts w:ascii="Cambria" w:hAnsi="Cambria" w:cs="Times New Roman"/>
        </w:rPr>
      </w:pPr>
      <w:r w:rsidRPr="0058477D">
        <w:rPr>
          <w:rFonts w:ascii="Cambria" w:hAnsi="Cambria" w:cs="Times New Roman"/>
        </w:rPr>
        <w:t>Policy design, and specifically Smart Specialisation, is an inherently complex activity that in most cases involves multiple stakeholders and a plethora of insufficient information. Two features that have been identified as crucial for improving strategy formulation processes, such as RIS3, are extended quantitative analytical exercises and enhanced stakeholders’ participation (</w:t>
      </w:r>
      <w:r w:rsidRPr="00BB209E">
        <w:rPr>
          <w:rFonts w:ascii="Cambria" w:hAnsi="Cambria" w:cs="Times New Roman"/>
        </w:rPr>
        <w:t xml:space="preserve">Rowe and Frewer, 2004; Charalabidis et al, 2010; </w:t>
      </w:r>
      <w:r w:rsidRPr="000D77F3">
        <w:rPr>
          <w:rFonts w:ascii="Cambria" w:hAnsi="Cambria" w:cs="Times New Roman"/>
        </w:rPr>
        <w:t>Komninos et al, 2014a; Panori et al., 2016</w:t>
      </w:r>
      <w:r w:rsidRPr="0058477D">
        <w:rPr>
          <w:rFonts w:ascii="Cambria" w:hAnsi="Cambria" w:cs="Times New Roman"/>
        </w:rPr>
        <w:t>). A review of existing smart specialisation methodologies emphasizes the importance to map, monitor and assess regional assets to identify opportunities for innovation through existing and emerging activities (</w:t>
      </w:r>
      <w:r w:rsidR="009E2EA8">
        <w:rPr>
          <w:rFonts w:ascii="Cambria" w:hAnsi="Cambria" w:cs="Times New Roman"/>
        </w:rPr>
        <w:t>Foray</w:t>
      </w:r>
      <w:r w:rsidRPr="005E53FE">
        <w:rPr>
          <w:rFonts w:ascii="Cambria" w:hAnsi="Cambria" w:cs="Times New Roman"/>
        </w:rPr>
        <w:t xml:space="preserve"> et al., 2012; </w:t>
      </w:r>
      <w:r w:rsidRPr="0058477D">
        <w:rPr>
          <w:rFonts w:ascii="Cambria" w:hAnsi="Cambria" w:cs="Times New Roman"/>
        </w:rPr>
        <w:t xml:space="preserve">Griniece et al., 2017). Smart specialisation is not a ‘one-size-fits-all’ approach, but rather an evidence-based innovation-driven process, focusing on the economic transformation of EU regions towards higher added value and more knowledge intensive activities. Under this framework, data collection and analysis emerge as two of the most valuable assets, not only for entrepreneurs concerned with leveraging new market opportunities, but also for regions, which are required to design strategies for strengthening their economic growth models. </w:t>
      </w:r>
    </w:p>
    <w:p w:rsidR="00CA379D" w:rsidRPr="0058477D" w:rsidRDefault="00CA379D" w:rsidP="00CA379D">
      <w:pPr>
        <w:spacing w:after="0" w:line="240" w:lineRule="auto"/>
        <w:jc w:val="both"/>
        <w:rPr>
          <w:rFonts w:ascii="Cambria" w:hAnsi="Cambria" w:cs="Times New Roman"/>
        </w:rPr>
      </w:pPr>
    </w:p>
    <w:p w:rsidR="00CA379D" w:rsidRPr="0058477D" w:rsidRDefault="00CA379D" w:rsidP="00CA379D">
      <w:pPr>
        <w:spacing w:after="0" w:line="240" w:lineRule="auto"/>
        <w:jc w:val="both"/>
        <w:rPr>
          <w:rFonts w:ascii="Cambria" w:hAnsi="Cambria" w:cs="Times New Roman"/>
        </w:rPr>
      </w:pPr>
      <w:r w:rsidRPr="0058477D">
        <w:rPr>
          <w:rFonts w:ascii="Cambria" w:hAnsi="Cambria" w:cs="Times New Roman"/>
        </w:rPr>
        <w:t xml:space="preserve">To date, various contributions and preliminary RIS3 evaluation reports have highlighted the difficulties in designing and implementing smart specialisation strategies (Reid et al., 2012; Komninos et al., 2014b; Kroll, 2015; Gianelle et al., 2016; Capello and Kroll, 2016). The initial European Commission’s RIS3 planning documents provided little guidance to regional policy makers in the rather complex process of S3 design policy (Cooke, 2012; Iacobucci, 2014). Iacobucci, and Guzzini (2016) try to identify different methodological ways to overcome the theoretical vagueness of the RIS3 guide in selecting regional priorities, while Boschma and Gianelle (2013) investigate the ways in which technological relatedness can provide significant input to the overall EDP process. Throughout literature, it becomes evident that the observed </w:t>
      </w:r>
      <w:r w:rsidRPr="0058477D">
        <w:rPr>
          <w:rFonts w:ascii="Cambria" w:hAnsi="Cambria" w:cs="Times New Roman"/>
          <w:lang w:val="en-US"/>
        </w:rPr>
        <w:t>obstacles</w:t>
      </w:r>
      <w:r w:rsidRPr="0058477D">
        <w:rPr>
          <w:rFonts w:ascii="Cambria" w:hAnsi="Cambria" w:cs="Times New Roman"/>
        </w:rPr>
        <w:t xml:space="preserve"> in designing the regional and national RIS3 strategies can largely be attributed to the lack of a clear methodological guidance and data sources, as well as the inability to adopt place-sensitive policy-support methodologies that define key aspects of the RIS3 process, such as related variety, priority setting, intervention logic etc (Reid et al., 2012; Capello and Kroll, 2016). </w:t>
      </w:r>
    </w:p>
    <w:p w:rsidR="00CA379D" w:rsidRPr="0058477D" w:rsidRDefault="00CA379D" w:rsidP="00CA379D">
      <w:pPr>
        <w:spacing w:after="0" w:line="240" w:lineRule="auto"/>
        <w:jc w:val="both"/>
        <w:rPr>
          <w:rFonts w:ascii="Cambria" w:hAnsi="Cambria" w:cs="Times New Roman"/>
        </w:rPr>
      </w:pPr>
    </w:p>
    <w:p w:rsidR="00CA379D" w:rsidRPr="0058477D" w:rsidRDefault="00CA379D" w:rsidP="00CA379D">
      <w:pPr>
        <w:spacing w:after="0" w:line="240" w:lineRule="auto"/>
        <w:jc w:val="both"/>
        <w:rPr>
          <w:rFonts w:ascii="Cambria" w:hAnsi="Cambria" w:cs="Times New Roman"/>
        </w:rPr>
      </w:pPr>
      <w:r w:rsidRPr="0058477D">
        <w:rPr>
          <w:rFonts w:ascii="Cambria" w:hAnsi="Cambria" w:cs="Times New Roman"/>
        </w:rPr>
        <w:t xml:space="preserve">Currently the JRC S3 platform features several online tools designed for RIS3 strategy design processes, including mostly databases and mapping tools. More specifically, the tools aim to help users to extract information on the selected S3 priorities across European regions, understand the earmarked ESIF funding allocations, provide background information on sectoral trade patterns as a proxy indication for main competitor regions, as well as benchmark regions with similar structural characteristics. In other words, the available online tools offer mainly the opportunity to scope the emerging landscape of specialisations and find benchmark regions for improved cross-border learning. Through a critical perspective, they offer limited analytical insights in supporting regional policy-makers and experts in charge of RIS3 processes, whereas they do not support more sophisticated online functionalities for RIS3 processes (Griniece et al., 2017; Panori et al., 2017). </w:t>
      </w:r>
    </w:p>
    <w:p w:rsidR="00CA379D" w:rsidRPr="0058477D" w:rsidRDefault="00CA379D" w:rsidP="00CA379D">
      <w:pPr>
        <w:spacing w:after="0" w:line="240" w:lineRule="auto"/>
        <w:jc w:val="both"/>
        <w:rPr>
          <w:rFonts w:ascii="Cambria" w:hAnsi="Cambria" w:cs="Times New Roman"/>
        </w:rPr>
      </w:pPr>
    </w:p>
    <w:p w:rsidR="00CA379D" w:rsidRPr="0058477D" w:rsidRDefault="00CA379D" w:rsidP="00CA379D">
      <w:pPr>
        <w:spacing w:after="0" w:line="240" w:lineRule="auto"/>
        <w:jc w:val="both"/>
        <w:rPr>
          <w:rFonts w:ascii="Cambria" w:hAnsi="Cambria" w:cs="Times New Roman"/>
        </w:rPr>
      </w:pPr>
      <w:r w:rsidRPr="0058477D">
        <w:rPr>
          <w:rFonts w:ascii="Cambria" w:hAnsi="Cambria" w:cs="Times New Roman"/>
        </w:rPr>
        <w:t xml:space="preserve">On the other hand, advanced methods in smart specialisation include strategy development processes that rely heavily on large-scale user engagement, datasets coming from several sources, and high complexity computations. More specifically, there is a need to strengthen multi-level policies that require a wide range of combined evidence to collectively identify and select regional </w:t>
      </w:r>
      <w:r w:rsidRPr="00CA379D">
        <w:rPr>
          <w:rFonts w:ascii="Cambria" w:hAnsi="Cambria" w:cs="Times New Roman"/>
          <w:color w:val="000000" w:themeColor="text1"/>
        </w:rPr>
        <w:t xml:space="preserve">priorities (Kleibrink and Magro, 2018). </w:t>
      </w:r>
      <w:r w:rsidRPr="0058477D">
        <w:rPr>
          <w:rFonts w:ascii="Cambria" w:hAnsi="Cambria" w:cs="Times New Roman"/>
        </w:rPr>
        <w:t xml:space="preserve">Based on this rationale, effective RIS3 processes should result as an outcome of sophisticated and well-coordinated interactions between datasets, methods and actors, each one of them contributing in a different way to the overall strategy development (Etzkowitz &amp; Leydesdorff, 1995; Ranga &amp; Etzkowitz, 2012). Coordination and support of these interlinked building blocks could be a critical parameter towards increasing the effectiveness of RIS3 policy-design and monitoring processes. </w:t>
      </w:r>
    </w:p>
    <w:p w:rsidR="00CA379D" w:rsidRPr="0058477D" w:rsidRDefault="00CA379D" w:rsidP="00CA379D">
      <w:pPr>
        <w:spacing w:after="0" w:line="240" w:lineRule="auto"/>
        <w:jc w:val="both"/>
        <w:rPr>
          <w:rFonts w:ascii="Cambria" w:hAnsi="Cambria" w:cs="Times New Roman"/>
        </w:rPr>
      </w:pPr>
    </w:p>
    <w:p w:rsidR="00CA379D" w:rsidRDefault="00CA379D" w:rsidP="00CA379D">
      <w:pPr>
        <w:spacing w:after="0" w:line="240" w:lineRule="auto"/>
        <w:jc w:val="both"/>
        <w:rPr>
          <w:rFonts w:ascii="Cambria" w:hAnsi="Cambria" w:cs="Times New Roman"/>
        </w:rPr>
      </w:pPr>
      <w:r w:rsidRPr="0058477D">
        <w:rPr>
          <w:rFonts w:ascii="Cambria" w:hAnsi="Cambria" w:cs="Times New Roman"/>
        </w:rPr>
        <w:t>Towards this aim, the emergence of digital platforms as an intrinsic feature of the continuously evolving economic structure, has opened new opportunities that relate to issues concerning stakeholder participation and the exploitation of advanced datasets. Platforms offer cyberspaces which enable the formation of new ecosystems, where users can effectively collaborate across a broad range of activities (</w:t>
      </w:r>
      <w:r w:rsidRPr="00BE766B">
        <w:rPr>
          <w:rFonts w:ascii="Cambria" w:hAnsi="Cambria" w:cs="Times New Roman"/>
        </w:rPr>
        <w:t xml:space="preserve">Oskam and Boswijk, 2016; </w:t>
      </w:r>
      <w:r w:rsidRPr="004236C9">
        <w:rPr>
          <w:rFonts w:ascii="Cambria" w:hAnsi="Cambria" w:cs="Times New Roman"/>
        </w:rPr>
        <w:t xml:space="preserve">Kenney and Zysman, 2016; Biber </w:t>
      </w:r>
      <w:r w:rsidRPr="0058477D">
        <w:rPr>
          <w:rFonts w:ascii="Cambria" w:hAnsi="Cambria" w:cs="Times New Roman"/>
        </w:rPr>
        <w:t xml:space="preserve">et al, 2017). </w:t>
      </w:r>
      <w:r>
        <w:rPr>
          <w:rFonts w:ascii="Cambria" w:hAnsi="Cambria" w:cs="Times New Roman"/>
        </w:rPr>
        <w:t>P</w:t>
      </w:r>
      <w:r w:rsidRPr="0058477D">
        <w:rPr>
          <w:rFonts w:ascii="Cambria" w:hAnsi="Cambria" w:cs="Times New Roman"/>
        </w:rPr>
        <w:t xml:space="preserve">latform environment can be exploited </w:t>
      </w:r>
      <w:r>
        <w:rPr>
          <w:rFonts w:ascii="Cambria" w:hAnsi="Cambria" w:cs="Times New Roman"/>
        </w:rPr>
        <w:t>for</w:t>
      </w:r>
      <w:r w:rsidRPr="0058477D">
        <w:rPr>
          <w:rFonts w:ascii="Cambria" w:hAnsi="Cambria" w:cs="Times New Roman"/>
        </w:rPr>
        <w:t xml:space="preserve"> dissemination activities and sharing common vision goals</w:t>
      </w:r>
      <w:r>
        <w:rPr>
          <w:rFonts w:ascii="Cambria" w:hAnsi="Cambria" w:cs="Times New Roman"/>
        </w:rPr>
        <w:t xml:space="preserve">, towards enhancing </w:t>
      </w:r>
      <w:r w:rsidRPr="0058477D">
        <w:rPr>
          <w:rFonts w:ascii="Cambria" w:hAnsi="Cambria" w:cs="Times New Roman"/>
        </w:rPr>
        <w:t>stakeholder</w:t>
      </w:r>
      <w:r>
        <w:rPr>
          <w:rFonts w:ascii="Cambria" w:hAnsi="Cambria" w:cs="Times New Roman"/>
        </w:rPr>
        <w:t xml:space="preserve"> collaboration and </w:t>
      </w:r>
      <w:r w:rsidRPr="0058477D">
        <w:rPr>
          <w:rFonts w:ascii="Cambria" w:hAnsi="Cambria" w:cs="Times New Roman"/>
        </w:rPr>
        <w:t xml:space="preserve">user-driven </w:t>
      </w:r>
      <w:r>
        <w:rPr>
          <w:rFonts w:ascii="Cambria" w:hAnsi="Cambria" w:cs="Times New Roman"/>
        </w:rPr>
        <w:t>innovation during</w:t>
      </w:r>
      <w:r w:rsidRPr="0058477D">
        <w:rPr>
          <w:rFonts w:ascii="Cambria" w:hAnsi="Cambria" w:cs="Times New Roman"/>
        </w:rPr>
        <w:t xml:space="preserve"> a RIS3 design process</w:t>
      </w:r>
      <w:r>
        <w:rPr>
          <w:rFonts w:ascii="Cambria" w:hAnsi="Cambria" w:cs="Times New Roman"/>
        </w:rPr>
        <w:t xml:space="preserve"> </w:t>
      </w:r>
      <w:r w:rsidRPr="0058477D">
        <w:rPr>
          <w:rFonts w:ascii="Cambria" w:hAnsi="Cambria" w:cs="Times New Roman"/>
        </w:rPr>
        <w:t>(Kakderi et al., 2018; Komninos, 2018).</w:t>
      </w:r>
      <w:r>
        <w:rPr>
          <w:rFonts w:ascii="Cambria" w:hAnsi="Cambria" w:cs="Times New Roman"/>
        </w:rPr>
        <w:t xml:space="preserve"> Smartness, in terms of innovation, collaboration and coordination, can be effectively elaborated through </w:t>
      </w:r>
      <w:r w:rsidRPr="0058477D">
        <w:rPr>
          <w:rFonts w:ascii="Cambria" w:hAnsi="Cambria" w:cs="Times New Roman"/>
        </w:rPr>
        <w:t>network-based relationships (</w:t>
      </w:r>
      <w:r w:rsidRPr="00BB209E">
        <w:rPr>
          <w:rFonts w:ascii="Cambria" w:hAnsi="Cambria" w:cs="Times New Roman"/>
        </w:rPr>
        <w:t>Antonelli and Cappiello, 2016). To this end, the use of online platforms in policy and strategi</w:t>
      </w:r>
      <w:r w:rsidRPr="0058477D">
        <w:rPr>
          <w:rFonts w:ascii="Cambria" w:hAnsi="Cambria" w:cs="Times New Roman"/>
        </w:rPr>
        <w:t>c planning</w:t>
      </w:r>
      <w:r>
        <w:rPr>
          <w:rFonts w:ascii="Cambria" w:hAnsi="Cambria" w:cs="Times New Roman"/>
        </w:rPr>
        <w:t xml:space="preserve"> could be received as an essential ingredient, given that </w:t>
      </w:r>
      <w:r w:rsidRPr="0058477D">
        <w:rPr>
          <w:rFonts w:ascii="Cambria" w:hAnsi="Cambria" w:cs="Times New Roman"/>
        </w:rPr>
        <w:t>big datasets,</w:t>
      </w:r>
      <w:r>
        <w:rPr>
          <w:rFonts w:ascii="Cambria" w:hAnsi="Cambria" w:cs="Times New Roman"/>
        </w:rPr>
        <w:t xml:space="preserve"> </w:t>
      </w:r>
      <w:r w:rsidRPr="0058477D">
        <w:rPr>
          <w:rFonts w:ascii="Cambria" w:hAnsi="Cambria" w:cs="Times New Roman"/>
        </w:rPr>
        <w:t xml:space="preserve">pilot experimentation and continuous assessment </w:t>
      </w:r>
      <w:r>
        <w:rPr>
          <w:rFonts w:ascii="Cambria" w:hAnsi="Cambria" w:cs="Times New Roman"/>
        </w:rPr>
        <w:t>guide</w:t>
      </w:r>
      <w:r w:rsidRPr="0058477D">
        <w:rPr>
          <w:rFonts w:ascii="Cambria" w:hAnsi="Cambria" w:cs="Times New Roman"/>
        </w:rPr>
        <w:t xml:space="preserve"> decision-making</w:t>
      </w:r>
      <w:r>
        <w:rPr>
          <w:rFonts w:ascii="Cambria" w:hAnsi="Cambria" w:cs="Times New Roman"/>
        </w:rPr>
        <w:t xml:space="preserve"> processes (</w:t>
      </w:r>
      <w:r w:rsidRPr="00593719">
        <w:rPr>
          <w:rFonts w:ascii="Cambria" w:hAnsi="Cambria" w:cs="Times New Roman"/>
        </w:rPr>
        <w:t>Komninos, 2018</w:t>
      </w:r>
      <w:r w:rsidRPr="0058477D">
        <w:rPr>
          <w:rFonts w:ascii="Cambria" w:hAnsi="Cambria" w:cs="Times New Roman"/>
        </w:rPr>
        <w:t>).</w:t>
      </w:r>
    </w:p>
    <w:p w:rsidR="00CA379D" w:rsidRDefault="00CA379D" w:rsidP="00CA379D">
      <w:pPr>
        <w:spacing w:after="0" w:line="240" w:lineRule="auto"/>
        <w:jc w:val="both"/>
        <w:rPr>
          <w:rFonts w:ascii="Cambria" w:hAnsi="Cambria" w:cs="Times New Roman"/>
        </w:rPr>
      </w:pPr>
    </w:p>
    <w:p w:rsidR="00CA379D" w:rsidRDefault="00CA379D" w:rsidP="00CA379D">
      <w:pPr>
        <w:spacing w:after="0" w:line="240" w:lineRule="auto"/>
        <w:jc w:val="both"/>
        <w:rPr>
          <w:rFonts w:ascii="Cambria" w:hAnsi="Cambria" w:cs="Times New Roman"/>
        </w:rPr>
      </w:pPr>
      <w:r>
        <w:rPr>
          <w:rFonts w:ascii="Cambria" w:hAnsi="Cambria" w:cs="Times New Roman"/>
        </w:rPr>
        <w:t>T</w:t>
      </w:r>
      <w:r w:rsidRPr="0058477D">
        <w:rPr>
          <w:rFonts w:ascii="Cambria" w:hAnsi="Cambria" w:cs="Times New Roman"/>
        </w:rPr>
        <w:t>he Online-S3 Platform (</w:t>
      </w:r>
      <w:hyperlink r:id="rId19" w:history="1">
        <w:r w:rsidRPr="0058477D">
          <w:rPr>
            <w:rStyle w:val="Hyperlink"/>
            <w:rFonts w:ascii="Cambria" w:hAnsi="Cambria" w:cs="Times New Roman"/>
          </w:rPr>
          <w:t>www.s3platform.eu</w:t>
        </w:r>
      </w:hyperlink>
      <w:r w:rsidRPr="0058477D">
        <w:rPr>
          <w:rFonts w:ascii="Cambria" w:hAnsi="Cambria" w:cs="Times New Roman"/>
        </w:rPr>
        <w:t xml:space="preserve">) constitutes an experiment of reference </w:t>
      </w:r>
      <w:r>
        <w:rPr>
          <w:rFonts w:ascii="Cambria" w:hAnsi="Cambria" w:cs="Times New Roman"/>
        </w:rPr>
        <w:t xml:space="preserve">towards empowering RIS3 processes by advanced methods, software and roadmaps </w:t>
      </w:r>
      <w:r w:rsidRPr="0058477D">
        <w:rPr>
          <w:rFonts w:ascii="Cambria" w:hAnsi="Cambria" w:cs="Times New Roman"/>
        </w:rPr>
        <w:t xml:space="preserve">for </w:t>
      </w:r>
      <w:r>
        <w:rPr>
          <w:rFonts w:ascii="Cambria" w:hAnsi="Cambria" w:cs="Times New Roman"/>
        </w:rPr>
        <w:t>several reasons. First, it focuses on providing an online environment for</w:t>
      </w:r>
      <w:r w:rsidRPr="0058477D">
        <w:rPr>
          <w:rFonts w:ascii="Cambria" w:hAnsi="Cambria" w:cs="Times New Roman"/>
        </w:rPr>
        <w:t xml:space="preserve"> managing the design process of a RIS3 strategy</w:t>
      </w:r>
      <w:r>
        <w:rPr>
          <w:rFonts w:ascii="Cambria" w:hAnsi="Cambria" w:cs="Times New Roman"/>
        </w:rPr>
        <w:t>. Second, it tries to</w:t>
      </w:r>
      <w:r w:rsidRPr="0058477D">
        <w:rPr>
          <w:rFonts w:ascii="Cambria" w:hAnsi="Cambria" w:cs="Times New Roman"/>
        </w:rPr>
        <w:t xml:space="preserve"> foster</w:t>
      </w:r>
      <w:r>
        <w:rPr>
          <w:rFonts w:ascii="Cambria" w:hAnsi="Cambria" w:cs="Times New Roman"/>
        </w:rPr>
        <w:t xml:space="preserve"> effective online</w:t>
      </w:r>
      <w:r w:rsidRPr="0058477D">
        <w:rPr>
          <w:rFonts w:ascii="Cambria" w:hAnsi="Cambria" w:cs="Times New Roman"/>
        </w:rPr>
        <w:t xml:space="preserve"> collaboration between different actors</w:t>
      </w:r>
      <w:r>
        <w:rPr>
          <w:rFonts w:ascii="Cambria" w:hAnsi="Cambria" w:cs="Times New Roman"/>
        </w:rPr>
        <w:t>, offering the opportunity to cover all quadruple helix stakeholders. Third, it</w:t>
      </w:r>
      <w:r w:rsidRPr="0058477D">
        <w:rPr>
          <w:rFonts w:ascii="Cambria" w:hAnsi="Cambria" w:cs="Times New Roman"/>
        </w:rPr>
        <w:t xml:space="preserve"> ensur</w:t>
      </w:r>
      <w:r>
        <w:rPr>
          <w:rFonts w:ascii="Cambria" w:hAnsi="Cambria" w:cs="Times New Roman"/>
        </w:rPr>
        <w:t>es</w:t>
      </w:r>
      <w:r w:rsidRPr="0058477D">
        <w:rPr>
          <w:rFonts w:ascii="Cambria" w:hAnsi="Cambria" w:cs="Times New Roman"/>
        </w:rPr>
        <w:t xml:space="preserve"> equal access opportunities to existing datasets and RIS3 methodologies (simple or more sophisticated)</w:t>
      </w:r>
      <w:r>
        <w:rPr>
          <w:rFonts w:ascii="Cambria" w:hAnsi="Cambria" w:cs="Times New Roman"/>
        </w:rPr>
        <w:t>, since all tools are freely available and open access.</w:t>
      </w:r>
      <w:r w:rsidRPr="0058477D">
        <w:rPr>
          <w:rFonts w:ascii="Cambria" w:hAnsi="Cambria" w:cs="Times New Roman"/>
        </w:rPr>
        <w:t xml:space="preserve"> </w:t>
      </w:r>
      <w:r>
        <w:rPr>
          <w:rFonts w:ascii="Cambria" w:hAnsi="Cambria" w:cs="Times New Roman"/>
        </w:rPr>
        <w:t>Finally, it provides a</w:t>
      </w:r>
      <w:r w:rsidRPr="0058477D">
        <w:rPr>
          <w:rFonts w:ascii="Cambria" w:hAnsi="Cambria" w:cs="Times New Roman"/>
        </w:rPr>
        <w:t xml:space="preserve"> monitoring </w:t>
      </w:r>
      <w:r>
        <w:rPr>
          <w:rFonts w:ascii="Cambria" w:hAnsi="Cambria" w:cs="Times New Roman"/>
        </w:rPr>
        <w:t xml:space="preserve">module, including a set of applications that focus on </w:t>
      </w:r>
      <w:r w:rsidRPr="0058477D">
        <w:rPr>
          <w:rFonts w:ascii="Cambria" w:hAnsi="Cambria" w:cs="Times New Roman"/>
        </w:rPr>
        <w:t xml:space="preserve">the implementation process of RIS3 actions and </w:t>
      </w:r>
      <w:r>
        <w:rPr>
          <w:rFonts w:ascii="Cambria" w:hAnsi="Cambria" w:cs="Times New Roman"/>
        </w:rPr>
        <w:t>measures</w:t>
      </w:r>
      <w:r w:rsidRPr="0058477D">
        <w:rPr>
          <w:rFonts w:ascii="Cambria" w:hAnsi="Cambria" w:cs="Times New Roman"/>
        </w:rPr>
        <w:t xml:space="preserve">. </w:t>
      </w:r>
    </w:p>
    <w:p w:rsidR="00CA379D" w:rsidRDefault="00CA379D" w:rsidP="00CA379D">
      <w:pPr>
        <w:spacing w:after="0" w:line="240" w:lineRule="auto"/>
        <w:jc w:val="both"/>
        <w:rPr>
          <w:rFonts w:ascii="Cambria" w:hAnsi="Cambria" w:cs="Times New Roman"/>
        </w:rPr>
      </w:pPr>
    </w:p>
    <w:p w:rsidR="00CA379D" w:rsidRDefault="00CA379D" w:rsidP="00CA379D">
      <w:pPr>
        <w:spacing w:after="0" w:line="240" w:lineRule="auto"/>
        <w:jc w:val="both"/>
        <w:rPr>
          <w:rFonts w:ascii="Cambria" w:hAnsi="Cambria" w:cs="Times New Roman"/>
        </w:rPr>
      </w:pPr>
      <w:r>
        <w:rPr>
          <w:rFonts w:ascii="Cambria" w:hAnsi="Cambria" w:cs="Times New Roman"/>
        </w:rPr>
        <w:t>The developed applications cover all existing phases of the RIS3 process, offering the opportunity to the users to better understand existing methodologies and their main rationale. The development of a set of roadmaps on the platform (</w:t>
      </w:r>
      <w:hyperlink r:id="rId20" w:history="1">
        <w:r w:rsidRPr="002563A5">
          <w:rPr>
            <w:rStyle w:val="Hyperlink"/>
            <w:rFonts w:ascii="Cambria" w:hAnsi="Cambria" w:cs="Times New Roman"/>
          </w:rPr>
          <w:t>http://www.s3platform.eu/roadmaps/</w:t>
        </w:r>
      </w:hyperlink>
      <w:r>
        <w:rPr>
          <w:rFonts w:ascii="Cambria" w:hAnsi="Cambria" w:cs="Times New Roman"/>
        </w:rPr>
        <w:t xml:space="preserve">) aims on helping decision-makers to systematically organise their actions and enhance their effectiveness. More specifically, the </w:t>
      </w:r>
      <w:r w:rsidRPr="00452D1C">
        <w:rPr>
          <w:rFonts w:ascii="Cambria" w:hAnsi="Cambria" w:cs="Times New Roman"/>
          <w:i/>
        </w:rPr>
        <w:t>Mini-S3 roadmap</w:t>
      </w:r>
      <w:r>
        <w:rPr>
          <w:rFonts w:ascii="Cambria" w:hAnsi="Cambria" w:cs="Times New Roman"/>
        </w:rPr>
        <w:t xml:space="preserve"> </w:t>
      </w:r>
      <w:r w:rsidRPr="001169AE">
        <w:rPr>
          <w:rFonts w:ascii="Cambria" w:hAnsi="Cambria" w:cs="Times New Roman"/>
        </w:rPr>
        <w:t xml:space="preserve">has been designed, including only a short list </w:t>
      </w:r>
      <w:r>
        <w:rPr>
          <w:rFonts w:ascii="Cambria" w:hAnsi="Cambria" w:cs="Times New Roman"/>
        </w:rPr>
        <w:t>(</w:t>
      </w:r>
      <w:r w:rsidRPr="001169AE">
        <w:rPr>
          <w:rFonts w:ascii="Cambria" w:hAnsi="Cambria" w:cs="Times New Roman"/>
        </w:rPr>
        <w:t>14 applications</w:t>
      </w:r>
      <w:r>
        <w:rPr>
          <w:rFonts w:ascii="Cambria" w:hAnsi="Cambria" w:cs="Times New Roman"/>
        </w:rPr>
        <w:t xml:space="preserve">) </w:t>
      </w:r>
      <w:r w:rsidRPr="001169AE">
        <w:rPr>
          <w:rFonts w:ascii="Cambria" w:hAnsi="Cambria" w:cs="Times New Roman"/>
        </w:rPr>
        <w:t xml:space="preserve">of the most essential methodologies and tools that should be used during a RIS3 design process. </w:t>
      </w:r>
      <w:r>
        <w:rPr>
          <w:rFonts w:ascii="Cambria" w:hAnsi="Cambria" w:cs="Times New Roman"/>
        </w:rPr>
        <w:t>The</w:t>
      </w:r>
      <w:r w:rsidRPr="001169AE">
        <w:rPr>
          <w:rFonts w:ascii="Cambria" w:hAnsi="Cambria" w:cs="Times New Roman"/>
        </w:rPr>
        <w:t xml:space="preserve"> applications have been chosen based on the importance of the corresponding methodology, as well as the feedback from the users regarding their user friendliness. </w:t>
      </w:r>
      <w:r>
        <w:rPr>
          <w:rFonts w:ascii="Cambria" w:hAnsi="Cambria" w:cs="Times New Roman"/>
        </w:rPr>
        <w:t xml:space="preserve">At the same time, the </w:t>
      </w:r>
      <w:r w:rsidRPr="00452D1C">
        <w:rPr>
          <w:rFonts w:ascii="Cambria" w:hAnsi="Cambria" w:cs="Times New Roman"/>
          <w:i/>
        </w:rPr>
        <w:t>EDP roadmap</w:t>
      </w:r>
      <w:r>
        <w:rPr>
          <w:rFonts w:ascii="Cambria" w:hAnsi="Cambria" w:cs="Times New Roman"/>
        </w:rPr>
        <w:t xml:space="preserve"> </w:t>
      </w:r>
      <w:r w:rsidRPr="001169AE">
        <w:rPr>
          <w:rFonts w:ascii="Cambria" w:hAnsi="Cambria" w:cs="Times New Roman"/>
        </w:rPr>
        <w:t>has been structured based on the EDP methodologies followed by the JRC and the World Bank, including three main tasks: knowledge production, stakeholder engagement and knowledge sharing and collaborative decision-making.</w:t>
      </w:r>
    </w:p>
    <w:p w:rsidR="00CA379D" w:rsidRPr="001169AE" w:rsidRDefault="00CA379D" w:rsidP="00CA379D">
      <w:pPr>
        <w:spacing w:after="0" w:line="240" w:lineRule="auto"/>
        <w:jc w:val="both"/>
        <w:rPr>
          <w:rFonts w:ascii="Cambria" w:hAnsi="Cambria" w:cs="Times New Roman"/>
        </w:rPr>
      </w:pPr>
    </w:p>
    <w:p w:rsidR="00CA379D" w:rsidRDefault="00CA379D" w:rsidP="00CA379D">
      <w:pPr>
        <w:spacing w:after="0" w:line="240" w:lineRule="auto"/>
        <w:jc w:val="both"/>
        <w:rPr>
          <w:rFonts w:ascii="Cambria" w:hAnsi="Cambria" w:cs="Times New Roman"/>
        </w:rPr>
      </w:pPr>
      <w:r>
        <w:rPr>
          <w:rFonts w:ascii="Cambria" w:hAnsi="Cambria" w:cs="Times New Roman"/>
        </w:rPr>
        <w:t xml:space="preserve">The last two roadmaps, mainly focus on the identification of </w:t>
      </w:r>
      <w:r>
        <w:rPr>
          <w:rFonts w:ascii="Cambria" w:hAnsi="Cambria" w:cs="Times New Roman"/>
          <w:lang w:val="en-US"/>
        </w:rPr>
        <w:t xml:space="preserve">emerging and niche sectors of the regional markets, that could be prioritized through a RIS3 strategy in order to boost regional economic growth. The </w:t>
      </w:r>
      <w:r w:rsidRPr="00452D1C">
        <w:rPr>
          <w:rFonts w:ascii="Cambria" w:hAnsi="Cambria" w:cs="Times New Roman"/>
          <w:i/>
        </w:rPr>
        <w:t>Specialisation roadmap</w:t>
      </w:r>
      <w:r w:rsidRPr="001169AE">
        <w:rPr>
          <w:rFonts w:ascii="Cambria" w:hAnsi="Cambria" w:cs="Times New Roman"/>
        </w:rPr>
        <w:t xml:space="preserve"> explains its role and usefulness in the RIS3 and describes three possible approaches to the analysis. A conceptual framework for specialisation analysis and accompanying methods for </w:t>
      </w:r>
      <w:r>
        <w:rPr>
          <w:rFonts w:ascii="Cambria" w:hAnsi="Cambria" w:cs="Times New Roman"/>
        </w:rPr>
        <w:t>implementing</w:t>
      </w:r>
      <w:r w:rsidRPr="001169AE">
        <w:rPr>
          <w:rFonts w:ascii="Cambria" w:hAnsi="Cambria" w:cs="Times New Roman"/>
        </w:rPr>
        <w:t xml:space="preserve"> it are presented</w:t>
      </w:r>
      <w:r>
        <w:rPr>
          <w:rFonts w:ascii="Cambria" w:hAnsi="Cambria" w:cs="Times New Roman"/>
        </w:rPr>
        <w:t xml:space="preserve">, as well as </w:t>
      </w:r>
      <w:r w:rsidRPr="001169AE">
        <w:rPr>
          <w:rFonts w:ascii="Cambria" w:hAnsi="Cambria" w:cs="Times New Roman"/>
        </w:rPr>
        <w:t>a selection of 10 Online S3 applications</w:t>
      </w:r>
      <w:r>
        <w:rPr>
          <w:rFonts w:ascii="Cambria" w:hAnsi="Cambria" w:cs="Times New Roman"/>
        </w:rPr>
        <w:t xml:space="preserve"> that could be used during this process</w:t>
      </w:r>
      <w:r w:rsidRPr="001169AE">
        <w:rPr>
          <w:rFonts w:ascii="Cambria" w:hAnsi="Cambria" w:cs="Times New Roman"/>
        </w:rPr>
        <w:t>.</w:t>
      </w:r>
      <w:r>
        <w:rPr>
          <w:rFonts w:ascii="Cambria" w:hAnsi="Cambria" w:cs="Times New Roman"/>
        </w:rPr>
        <w:t xml:space="preserve"> On the other hand, the </w:t>
      </w:r>
      <w:r w:rsidRPr="00452D1C">
        <w:rPr>
          <w:rFonts w:ascii="Cambria" w:hAnsi="Cambria" w:cs="Times New Roman"/>
          <w:i/>
        </w:rPr>
        <w:t>Vertical roadmap</w:t>
      </w:r>
      <w:r w:rsidRPr="001169AE">
        <w:rPr>
          <w:rFonts w:ascii="Cambria" w:hAnsi="Cambria" w:cs="Times New Roman"/>
        </w:rPr>
        <w:t xml:space="preserve"> proposes a five-stage process for designing innovative investment projects per niche industry market</w:t>
      </w:r>
      <w:r>
        <w:rPr>
          <w:rFonts w:ascii="Cambria" w:hAnsi="Cambria" w:cs="Times New Roman"/>
        </w:rPr>
        <w:t>, using a set of 14 Online-S3 applications</w:t>
      </w:r>
      <w:r w:rsidRPr="001169AE">
        <w:rPr>
          <w:rFonts w:ascii="Cambria" w:hAnsi="Cambria" w:cs="Times New Roman"/>
        </w:rPr>
        <w:t xml:space="preserve">. These </w:t>
      </w:r>
      <w:r>
        <w:rPr>
          <w:rFonts w:ascii="Cambria" w:hAnsi="Cambria" w:cs="Times New Roman"/>
        </w:rPr>
        <w:t>focus specifically on</w:t>
      </w:r>
      <w:r w:rsidRPr="001169AE">
        <w:rPr>
          <w:rFonts w:ascii="Cambria" w:hAnsi="Cambria" w:cs="Times New Roman"/>
        </w:rPr>
        <w:t xml:space="preserve"> actions, such as: mapping sectoral and regional strengths, identification of actors per sector of interest, actors’ engagement, collaborative project design, monitoring and assess.</w:t>
      </w:r>
    </w:p>
    <w:p w:rsidR="00CA379D" w:rsidRDefault="00CA379D" w:rsidP="00CA379D">
      <w:pPr>
        <w:spacing w:after="0" w:line="240" w:lineRule="auto"/>
        <w:jc w:val="both"/>
        <w:rPr>
          <w:rFonts w:ascii="Cambria" w:hAnsi="Cambria" w:cs="Times New Roman"/>
        </w:rPr>
      </w:pPr>
    </w:p>
    <w:p w:rsidR="00CA379D" w:rsidRDefault="00CA379D" w:rsidP="00CA379D">
      <w:pPr>
        <w:spacing w:after="0" w:line="240" w:lineRule="auto"/>
        <w:jc w:val="both"/>
        <w:rPr>
          <w:rFonts w:ascii="Cambria" w:hAnsi="Cambria" w:cs="Times New Roman"/>
        </w:rPr>
      </w:pPr>
      <w:r>
        <w:rPr>
          <w:rFonts w:ascii="Cambria" w:hAnsi="Cambria" w:cs="Times New Roman"/>
        </w:rPr>
        <w:t>At this point</w:t>
      </w:r>
      <w:r w:rsidRPr="0058477D">
        <w:rPr>
          <w:rFonts w:ascii="Cambria" w:hAnsi="Cambria" w:cs="Times New Roman"/>
        </w:rPr>
        <w:t xml:space="preserve">, </w:t>
      </w:r>
      <w:r>
        <w:rPr>
          <w:rFonts w:ascii="Cambria" w:hAnsi="Cambria" w:cs="Times New Roman"/>
        </w:rPr>
        <w:t xml:space="preserve">it should be highlighted that </w:t>
      </w:r>
      <w:r w:rsidRPr="0058477D">
        <w:rPr>
          <w:rFonts w:ascii="Cambria" w:hAnsi="Cambria" w:cs="Times New Roman"/>
        </w:rPr>
        <w:t>the success of an online platform</w:t>
      </w:r>
      <w:r>
        <w:rPr>
          <w:rFonts w:ascii="Cambria" w:hAnsi="Cambria" w:cs="Times New Roman"/>
        </w:rPr>
        <w:t>, which is</w:t>
      </w:r>
      <w:r w:rsidRPr="0058477D">
        <w:rPr>
          <w:rFonts w:ascii="Cambria" w:hAnsi="Cambria" w:cs="Times New Roman"/>
        </w:rPr>
        <w:t xml:space="preserve"> designed to facilitate a wide range of users with different background and levels of experience, largely depends on following co-creation principles, to get feedback from a multi-stakeholder audience, as well as its ability to adapt in different geographical and development contexts. The no-‘one-size-fits-all’ approach </w:t>
      </w:r>
      <w:r>
        <w:rPr>
          <w:rFonts w:ascii="Cambria" w:hAnsi="Cambria" w:cs="Times New Roman"/>
        </w:rPr>
        <w:t>has</w:t>
      </w:r>
      <w:r w:rsidRPr="0058477D">
        <w:rPr>
          <w:rFonts w:ascii="Cambria" w:hAnsi="Cambria" w:cs="Times New Roman"/>
        </w:rPr>
        <w:t xml:space="preserve"> also be</w:t>
      </w:r>
      <w:r>
        <w:rPr>
          <w:rFonts w:ascii="Cambria" w:hAnsi="Cambria" w:cs="Times New Roman"/>
        </w:rPr>
        <w:t>en</w:t>
      </w:r>
      <w:r w:rsidRPr="0058477D">
        <w:rPr>
          <w:rFonts w:ascii="Cambria" w:hAnsi="Cambria" w:cs="Times New Roman"/>
        </w:rPr>
        <w:t xml:space="preserve"> followed in </w:t>
      </w:r>
      <w:r>
        <w:rPr>
          <w:rFonts w:ascii="Cambria" w:hAnsi="Cambria" w:cs="Times New Roman"/>
        </w:rPr>
        <w:t xml:space="preserve">the Online-S3 case in </w:t>
      </w:r>
      <w:r w:rsidRPr="0058477D">
        <w:rPr>
          <w:rFonts w:ascii="Cambria" w:hAnsi="Cambria" w:cs="Times New Roman"/>
        </w:rPr>
        <w:t>terms of software design, to ensure that all users can easily understand and personalize the</w:t>
      </w:r>
      <w:r>
        <w:rPr>
          <w:rFonts w:ascii="Cambria" w:hAnsi="Cambria" w:cs="Times New Roman"/>
        </w:rPr>
        <w:t>ir</w:t>
      </w:r>
      <w:r w:rsidRPr="0058477D">
        <w:rPr>
          <w:rFonts w:ascii="Cambria" w:hAnsi="Cambria" w:cs="Times New Roman"/>
        </w:rPr>
        <w:t xml:space="preserve"> strategic planning process. These principles have been incorporated in the Online-S3 platform through</w:t>
      </w:r>
      <w:r>
        <w:rPr>
          <w:rFonts w:ascii="Cambria" w:hAnsi="Cambria" w:cs="Times New Roman"/>
        </w:rPr>
        <w:t xml:space="preserve">out the design of the </w:t>
      </w:r>
      <w:r>
        <w:rPr>
          <w:rFonts w:ascii="Cambria" w:hAnsi="Cambria" w:cs="Times New Roman"/>
        </w:rPr>
        <w:lastRenderedPageBreak/>
        <w:t>applications and</w:t>
      </w:r>
      <w:r w:rsidRPr="0058477D">
        <w:rPr>
          <w:rFonts w:ascii="Cambria" w:hAnsi="Cambria" w:cs="Times New Roman"/>
        </w:rPr>
        <w:t xml:space="preserve"> the creation of the 4 thematic roadmaps</w:t>
      </w:r>
      <w:r>
        <w:rPr>
          <w:rFonts w:ascii="Cambria" w:hAnsi="Cambria" w:cs="Times New Roman"/>
        </w:rPr>
        <w:t xml:space="preserve"> (Panori et al., 2018)</w:t>
      </w:r>
      <w:r w:rsidRPr="0058477D">
        <w:rPr>
          <w:rFonts w:ascii="Cambria" w:hAnsi="Cambria" w:cs="Times New Roman"/>
        </w:rPr>
        <w:t>.</w:t>
      </w:r>
      <w:r>
        <w:rPr>
          <w:rFonts w:ascii="Cambria" w:hAnsi="Cambria" w:cs="Times New Roman"/>
        </w:rPr>
        <w:t xml:space="preserve"> </w:t>
      </w:r>
      <w:r w:rsidRPr="0058477D">
        <w:rPr>
          <w:rFonts w:ascii="Cambria" w:hAnsi="Cambria" w:cs="Times New Roman"/>
        </w:rPr>
        <w:t xml:space="preserve">Therefore, </w:t>
      </w:r>
      <w:r>
        <w:rPr>
          <w:rFonts w:ascii="Cambria" w:hAnsi="Cambria" w:cs="Times New Roman"/>
        </w:rPr>
        <w:t>the Online-S3 Platform</w:t>
      </w:r>
      <w:r w:rsidRPr="0058477D">
        <w:rPr>
          <w:rFonts w:ascii="Cambria" w:hAnsi="Cambria" w:cs="Times New Roman"/>
        </w:rPr>
        <w:t xml:space="preserve"> </w:t>
      </w:r>
      <w:r>
        <w:rPr>
          <w:rFonts w:ascii="Cambria" w:hAnsi="Cambria" w:cs="Times New Roman"/>
        </w:rPr>
        <w:t>provides</w:t>
      </w:r>
      <w:r w:rsidRPr="0058477D">
        <w:rPr>
          <w:rFonts w:ascii="Cambria" w:hAnsi="Cambria" w:cs="Times New Roman"/>
        </w:rPr>
        <w:t xml:space="preserve"> an essential effort to</w:t>
      </w:r>
      <w:r>
        <w:rPr>
          <w:rFonts w:ascii="Cambria" w:hAnsi="Cambria" w:cs="Times New Roman"/>
        </w:rPr>
        <w:t>wards</w:t>
      </w:r>
      <w:r w:rsidRPr="0058477D">
        <w:rPr>
          <w:rFonts w:ascii="Cambria" w:hAnsi="Cambria" w:cs="Times New Roman"/>
        </w:rPr>
        <w:t xml:space="preserve"> reinforc</w:t>
      </w:r>
      <w:r>
        <w:rPr>
          <w:rFonts w:ascii="Cambria" w:hAnsi="Cambria" w:cs="Times New Roman"/>
        </w:rPr>
        <w:t>ing</w:t>
      </w:r>
      <w:r w:rsidRPr="0058477D">
        <w:rPr>
          <w:rFonts w:ascii="Cambria" w:hAnsi="Cambria" w:cs="Times New Roman"/>
        </w:rPr>
        <w:t xml:space="preserve"> regional authorities’ capabilities </w:t>
      </w:r>
      <w:r>
        <w:rPr>
          <w:rFonts w:ascii="Cambria" w:hAnsi="Cambria" w:cs="Times New Roman"/>
        </w:rPr>
        <w:t>for</w:t>
      </w:r>
      <w:r w:rsidRPr="0058477D">
        <w:rPr>
          <w:rFonts w:ascii="Cambria" w:hAnsi="Cambria" w:cs="Times New Roman"/>
        </w:rPr>
        <w:t xml:space="preserve"> revising and enhancing existing RIS3 strategies</w:t>
      </w:r>
      <w:r w:rsidRPr="00356DA4">
        <w:t xml:space="preserve"> </w:t>
      </w:r>
      <w:r>
        <w:rPr>
          <w:rFonts w:ascii="Cambria" w:hAnsi="Cambria" w:cs="Times New Roman"/>
        </w:rPr>
        <w:t>through</w:t>
      </w:r>
      <w:r w:rsidRPr="00356DA4">
        <w:rPr>
          <w:rFonts w:ascii="Cambria" w:hAnsi="Cambria" w:cs="Times New Roman"/>
        </w:rPr>
        <w:t xml:space="preserve"> advanced methods, software, and roadmaps</w:t>
      </w:r>
      <w:r w:rsidRPr="0058477D">
        <w:rPr>
          <w:rFonts w:ascii="Cambria" w:hAnsi="Cambria" w:cs="Times New Roman"/>
        </w:rPr>
        <w:t>, opening the road to the Smart Specialisation 2.0 era.</w:t>
      </w:r>
    </w:p>
    <w:p w:rsidR="00CA379D" w:rsidRDefault="00CA379D" w:rsidP="00CA379D">
      <w:pPr>
        <w:spacing w:after="0" w:line="240" w:lineRule="auto"/>
        <w:rPr>
          <w:rFonts w:ascii="Cambria" w:hAnsi="Cambria" w:cs="Times New Roman"/>
          <w:color w:val="0070C0"/>
          <w:szCs w:val="24"/>
        </w:rPr>
      </w:pPr>
    </w:p>
    <w:p w:rsidR="00CA379D" w:rsidRPr="00CA379D" w:rsidRDefault="00CA379D" w:rsidP="00CA379D">
      <w:pPr>
        <w:spacing w:after="0" w:line="240" w:lineRule="auto"/>
        <w:rPr>
          <w:rFonts w:ascii="Cambria" w:hAnsi="Cambria" w:cs="Times New Roman"/>
          <w:color w:val="0070C0"/>
          <w:szCs w:val="24"/>
        </w:rPr>
      </w:pPr>
    </w:p>
    <w:p w:rsidR="003111B8" w:rsidRPr="00B044E4" w:rsidRDefault="00CE1D86" w:rsidP="00CA379D">
      <w:pPr>
        <w:spacing w:after="0" w:line="240" w:lineRule="auto"/>
        <w:rPr>
          <w:rFonts w:ascii="Cambria" w:hAnsi="Cambria" w:cs="Times New Roman"/>
          <w:color w:val="0070C0"/>
          <w:sz w:val="32"/>
          <w:szCs w:val="24"/>
        </w:rPr>
      </w:pPr>
      <w:r w:rsidRPr="00B044E4">
        <w:rPr>
          <w:rFonts w:ascii="Cambria" w:hAnsi="Cambria" w:cs="Times New Roman"/>
          <w:color w:val="0070C0"/>
          <w:sz w:val="32"/>
          <w:szCs w:val="24"/>
        </w:rPr>
        <w:t xml:space="preserve">5. Moving </w:t>
      </w:r>
      <w:r w:rsidR="007305A7" w:rsidRPr="00B044E4">
        <w:rPr>
          <w:rFonts w:ascii="Cambria" w:hAnsi="Cambria" w:cs="Times New Roman"/>
          <w:color w:val="0070C0"/>
          <w:sz w:val="32"/>
          <w:szCs w:val="24"/>
        </w:rPr>
        <w:t xml:space="preserve">RIS3 </w:t>
      </w:r>
      <w:r w:rsidRPr="00B044E4">
        <w:rPr>
          <w:rFonts w:ascii="Cambria" w:hAnsi="Cambria" w:cs="Times New Roman"/>
          <w:color w:val="0070C0"/>
          <w:sz w:val="32"/>
          <w:szCs w:val="24"/>
        </w:rPr>
        <w:t xml:space="preserve">forward by </w:t>
      </w:r>
      <w:r w:rsidR="003111B8" w:rsidRPr="00B044E4">
        <w:rPr>
          <w:rFonts w:ascii="Cambria" w:hAnsi="Cambria" w:cs="Times New Roman"/>
          <w:color w:val="0070C0"/>
          <w:sz w:val="32"/>
          <w:szCs w:val="24"/>
        </w:rPr>
        <w:t>co-design</w:t>
      </w:r>
      <w:r w:rsidR="00ED1AA3" w:rsidRPr="00B044E4">
        <w:rPr>
          <w:rFonts w:ascii="Cambria" w:hAnsi="Cambria" w:cs="Times New Roman"/>
          <w:color w:val="0070C0"/>
          <w:sz w:val="32"/>
          <w:szCs w:val="24"/>
        </w:rPr>
        <w:t xml:space="preserve"> and collective intelligence</w:t>
      </w:r>
    </w:p>
    <w:p w:rsidR="001B0883" w:rsidRPr="00B044E4" w:rsidRDefault="001B0883" w:rsidP="00CA379D">
      <w:pPr>
        <w:spacing w:after="0" w:line="240" w:lineRule="auto"/>
        <w:jc w:val="both"/>
        <w:rPr>
          <w:rFonts w:ascii="Cambria" w:hAnsi="Cambria" w:cs="Times New Roman"/>
          <w:color w:val="000000"/>
        </w:rPr>
      </w:pPr>
    </w:p>
    <w:p w:rsidR="003111B8" w:rsidRPr="00B044E4" w:rsidRDefault="003B4CF1" w:rsidP="00CA379D">
      <w:pPr>
        <w:spacing w:after="0" w:line="240" w:lineRule="auto"/>
        <w:jc w:val="both"/>
        <w:rPr>
          <w:rFonts w:ascii="Cambria" w:hAnsi="Cambria" w:cs="Times New Roman"/>
          <w:color w:val="000000"/>
        </w:rPr>
      </w:pPr>
      <w:r w:rsidRPr="00B044E4">
        <w:rPr>
          <w:rFonts w:ascii="Cambria" w:hAnsi="Cambria" w:cs="Times New Roman"/>
          <w:color w:val="000000"/>
        </w:rPr>
        <w:t>C</w:t>
      </w:r>
      <w:r w:rsidR="003111B8" w:rsidRPr="00B044E4">
        <w:rPr>
          <w:rFonts w:ascii="Cambria" w:hAnsi="Cambria" w:cs="Times New Roman"/>
          <w:color w:val="000000"/>
        </w:rPr>
        <w:t>ollaborative co-design</w:t>
      </w:r>
      <w:r w:rsidRPr="00B044E4">
        <w:rPr>
          <w:rFonts w:ascii="Cambria" w:hAnsi="Cambria" w:cs="Times New Roman"/>
          <w:color w:val="000000"/>
        </w:rPr>
        <w:t>, data-driven intelligence</w:t>
      </w:r>
      <w:r w:rsidR="003111B8" w:rsidRPr="00B044E4">
        <w:rPr>
          <w:rFonts w:ascii="Cambria" w:hAnsi="Cambria" w:cs="Times New Roman"/>
          <w:color w:val="000000"/>
        </w:rPr>
        <w:t xml:space="preserve"> </w:t>
      </w:r>
      <w:r w:rsidRPr="00B044E4">
        <w:rPr>
          <w:rFonts w:ascii="Cambria" w:hAnsi="Cambria" w:cs="Times New Roman"/>
          <w:color w:val="000000"/>
        </w:rPr>
        <w:t xml:space="preserve">and collective intelligence </w:t>
      </w:r>
      <w:r w:rsidR="003111B8" w:rsidRPr="00B044E4">
        <w:rPr>
          <w:rFonts w:ascii="Cambria" w:hAnsi="Cambria" w:cs="Times New Roman"/>
          <w:color w:val="000000"/>
        </w:rPr>
        <w:t>provide means to facilitate an inclusive, evidence-based process for RIS3 that is recommended in RIS3 literature. For instance, Gianelle et al. (2014) argue that RIS3 should be based on a thorough understanding of the regional economic structure and competitive position of the economy. Furthermore, according to the Guide to Research and Innovation Strategies for Smart Specialisation (referred as RIS3 Guide onwards), “</w:t>
      </w:r>
      <w:r w:rsidR="003111B8" w:rsidRPr="00B044E4">
        <w:rPr>
          <w:rFonts w:ascii="Cambria" w:hAnsi="Cambria" w:cs="Times New Roman"/>
          <w:i/>
          <w:color w:val="000000"/>
        </w:rPr>
        <w:t>RIS3 needs to be based on a sound analysis of the regional economy, society, and innovation structure</w:t>
      </w:r>
      <w:r w:rsidR="003111B8" w:rsidRPr="00B044E4">
        <w:rPr>
          <w:rFonts w:ascii="Cambria" w:hAnsi="Cambria" w:cs="Times New Roman"/>
          <w:color w:val="000000"/>
        </w:rPr>
        <w:t>” (Foray et al., 2012). RIS3 Guide also underlines “</w:t>
      </w:r>
      <w:r w:rsidR="003111B8" w:rsidRPr="00B044E4">
        <w:rPr>
          <w:rFonts w:ascii="Cambria" w:hAnsi="Cambria" w:cs="Times New Roman"/>
          <w:i/>
          <w:color w:val="000000"/>
        </w:rPr>
        <w:t>The fact that RIS3 is based on a wide view of innovation automatically implies that stakeholders of different types and levels should participate extensively in its design</w:t>
      </w:r>
      <w:r w:rsidR="003111B8" w:rsidRPr="00B044E4">
        <w:rPr>
          <w:rFonts w:ascii="Cambria" w:hAnsi="Cambria" w:cs="Times New Roman"/>
          <w:color w:val="000000"/>
        </w:rPr>
        <w:t xml:space="preserve">” (Foray et al., 2012). </w:t>
      </w:r>
    </w:p>
    <w:p w:rsidR="001B0883" w:rsidRPr="00B044E4" w:rsidRDefault="001B0883" w:rsidP="00CA379D">
      <w:pPr>
        <w:spacing w:after="0" w:line="240" w:lineRule="auto"/>
        <w:jc w:val="both"/>
        <w:rPr>
          <w:rFonts w:ascii="Cambria" w:hAnsi="Cambria" w:cs="Times New Roman"/>
          <w:color w:val="000000"/>
        </w:rPr>
      </w:pPr>
    </w:p>
    <w:p w:rsidR="003111B8" w:rsidRPr="00B044E4" w:rsidRDefault="002F76B2" w:rsidP="00CA379D">
      <w:pPr>
        <w:spacing w:after="0" w:line="240" w:lineRule="auto"/>
        <w:jc w:val="both"/>
        <w:rPr>
          <w:rFonts w:ascii="Cambria" w:hAnsi="Cambria" w:cs="Times New Roman"/>
          <w:color w:val="000000"/>
        </w:rPr>
      </w:pPr>
      <w:r w:rsidRPr="00B044E4">
        <w:rPr>
          <w:rFonts w:ascii="Cambria" w:hAnsi="Cambria" w:cs="Times New Roman"/>
          <w:color w:val="000000"/>
        </w:rPr>
        <w:t>As mentioned, t</w:t>
      </w:r>
      <w:r w:rsidR="003111B8" w:rsidRPr="00B044E4">
        <w:rPr>
          <w:rFonts w:ascii="Cambria" w:hAnsi="Cambria" w:cs="Times New Roman"/>
          <w:color w:val="000000"/>
        </w:rPr>
        <w:t>he entrepreneurial discovery process (EDP) is a core principle of RIS3. It should ensure that the view</w:t>
      </w:r>
      <w:r w:rsidR="003B4CF1" w:rsidRPr="00B044E4">
        <w:rPr>
          <w:rFonts w:ascii="Cambria" w:hAnsi="Cambria" w:cs="Times New Roman"/>
          <w:color w:val="000000"/>
        </w:rPr>
        <w:t>s of different ‘quadruple helix’</w:t>
      </w:r>
      <w:r w:rsidR="003111B8" w:rsidRPr="00B044E4">
        <w:rPr>
          <w:rFonts w:ascii="Cambria" w:hAnsi="Cambria" w:cs="Times New Roman"/>
          <w:color w:val="000000"/>
        </w:rPr>
        <w:t xml:space="preserve"> stakeholders – academia, industry, public sector and civil society - are part of the smart specialisation strategy. Data intelligence serves as a key input for EDP providing information on the regional strengths and competitive advantages in relation to other regions. For instance, regional data on geography, demography and society, economy and labour, sectoral structures, business characteristics and innovation system is needed for regional profiling and to develop international comparisons (Kroll et al., 2011; OECD, 2013). In addition to the collecting and analysing data on the current stage of the region, it is important to gather data on future trends and uncertainties that can affect the future development of the region. Data intelligence on the current stage of the region and the future development provide sound bases for regional quadruple helix stakeholders to develop together a shared vision of the future and to identify key priorities for regional development. </w:t>
      </w:r>
    </w:p>
    <w:p w:rsidR="001B0883" w:rsidRPr="00B044E4" w:rsidRDefault="001B0883" w:rsidP="00CA379D">
      <w:pPr>
        <w:spacing w:after="0" w:line="240" w:lineRule="auto"/>
        <w:jc w:val="both"/>
        <w:rPr>
          <w:rFonts w:ascii="Cambria" w:hAnsi="Cambria" w:cs="Times New Roman"/>
          <w:color w:val="000000"/>
        </w:rPr>
      </w:pPr>
    </w:p>
    <w:p w:rsidR="003111B8" w:rsidRPr="00B044E4" w:rsidRDefault="003111B8" w:rsidP="00CA379D">
      <w:pPr>
        <w:spacing w:after="0" w:line="240" w:lineRule="auto"/>
        <w:jc w:val="both"/>
        <w:rPr>
          <w:rFonts w:ascii="Cambria" w:hAnsi="Cambria" w:cs="Times New Roman"/>
          <w:color w:val="000000"/>
        </w:rPr>
      </w:pPr>
      <w:r w:rsidRPr="00B044E4">
        <w:rPr>
          <w:rFonts w:ascii="Cambria" w:hAnsi="Cambria" w:cs="Times New Roman"/>
          <w:color w:val="000000"/>
        </w:rPr>
        <w:t>Prior literature has urged for collaborative co-design of regional RIS3 action plan and RIS3 monitoring and evaluation system (Gianelle and Kleibrink, 2015). The engagement of regional stakeholders is vital to ensure they get committed to RIS3 strategy and feel ownership of it (Gianelle et al, 2016). Indeed, prior literature has emphasized that EDP should be a continuous process to realize full benefits of smart specialisation (Gianelle et al, 2016; Marinelli and Perez-Forte, 2017; McCann and Ortega-Argiles, 2016; Roman and Nyberg, 2017).</w:t>
      </w:r>
    </w:p>
    <w:p w:rsidR="001B0883" w:rsidRPr="00B044E4" w:rsidRDefault="001B0883" w:rsidP="00CA379D">
      <w:pPr>
        <w:spacing w:after="0" w:line="240" w:lineRule="auto"/>
        <w:jc w:val="both"/>
        <w:rPr>
          <w:rFonts w:ascii="Cambria" w:hAnsi="Cambria" w:cs="Times New Roman"/>
          <w:color w:val="000000"/>
        </w:rPr>
      </w:pPr>
    </w:p>
    <w:p w:rsidR="003111B8" w:rsidRPr="00B044E4" w:rsidRDefault="002F76B2" w:rsidP="00CA379D">
      <w:pPr>
        <w:spacing w:after="0" w:line="240" w:lineRule="auto"/>
        <w:jc w:val="both"/>
        <w:rPr>
          <w:rFonts w:ascii="Cambria" w:hAnsi="Cambria" w:cs="Times New Roman"/>
          <w:color w:val="000000"/>
        </w:rPr>
      </w:pPr>
      <w:r w:rsidRPr="00B044E4">
        <w:rPr>
          <w:rFonts w:ascii="Cambria" w:hAnsi="Cambria" w:cs="Times New Roman"/>
          <w:color w:val="000000"/>
        </w:rPr>
        <w:t xml:space="preserve">There is evidence that </w:t>
      </w:r>
      <w:r w:rsidR="003111B8" w:rsidRPr="00B044E4">
        <w:rPr>
          <w:rFonts w:ascii="Cambria" w:hAnsi="Cambria" w:cs="Times New Roman"/>
          <w:color w:val="000000"/>
        </w:rPr>
        <w:t xml:space="preserve">many regions have faced challenges to engage different types of regional stakeholders in RIS3 and to facilitate true interaction between the different stakeholder groups (Aranguren et al., 2018). Regions are in need of further guidance to implement a truly participative EDP (Fellnhofer, 2017; Gheorghiu et al., 2016). </w:t>
      </w:r>
      <w:r w:rsidRPr="00B044E4">
        <w:rPr>
          <w:rFonts w:ascii="Cambria" w:hAnsi="Cambria" w:cs="Times New Roman"/>
          <w:color w:val="000000"/>
        </w:rPr>
        <w:t xml:space="preserve">The </w:t>
      </w:r>
      <w:r w:rsidR="003111B8" w:rsidRPr="00B044E4">
        <w:rPr>
          <w:rFonts w:ascii="Cambria" w:hAnsi="Cambria" w:cs="Times New Roman"/>
          <w:color w:val="000000"/>
        </w:rPr>
        <w:t xml:space="preserve">ONLINE-S3 project aimed at bridging the gap between RIS3 theory and practice through the development of online tools to aid national and regional policymakers to facilitate RIS3 process. For example, </w:t>
      </w:r>
      <w:r w:rsidR="003111B8" w:rsidRPr="00B044E4">
        <w:rPr>
          <w:rFonts w:ascii="Cambria" w:hAnsi="Cambria" w:cs="Times New Roman"/>
          <w:i/>
          <w:color w:val="000000"/>
        </w:rPr>
        <w:t>Regional Assets Mapping</w:t>
      </w:r>
      <w:r w:rsidR="003111B8" w:rsidRPr="00B044E4">
        <w:rPr>
          <w:rFonts w:ascii="Cambria" w:hAnsi="Cambria" w:cs="Times New Roman"/>
          <w:color w:val="000000"/>
        </w:rPr>
        <w:t xml:space="preserve"> and </w:t>
      </w:r>
      <w:r w:rsidR="003111B8" w:rsidRPr="00B044E4">
        <w:rPr>
          <w:rFonts w:ascii="Cambria" w:hAnsi="Cambria" w:cs="Times New Roman"/>
          <w:i/>
          <w:color w:val="000000"/>
        </w:rPr>
        <w:t>Scenario Building</w:t>
      </w:r>
      <w:r w:rsidRPr="00B044E4">
        <w:rPr>
          <w:rFonts w:ascii="Cambria" w:hAnsi="Cambria" w:cs="Times New Roman"/>
          <w:color w:val="000000"/>
        </w:rPr>
        <w:t xml:space="preserve"> applications</w:t>
      </w:r>
      <w:r w:rsidR="003111B8" w:rsidRPr="00B044E4">
        <w:rPr>
          <w:rFonts w:ascii="Cambria" w:hAnsi="Cambria" w:cs="Times New Roman"/>
          <w:color w:val="000000"/>
        </w:rPr>
        <w:t xml:space="preserve"> support the incorporation of data intelligence</w:t>
      </w:r>
      <w:r w:rsidRPr="00B044E4">
        <w:rPr>
          <w:rFonts w:ascii="Cambria" w:hAnsi="Cambria" w:cs="Times New Roman"/>
          <w:color w:val="000000"/>
        </w:rPr>
        <w:t>, while the</w:t>
      </w:r>
      <w:r w:rsidRPr="00B044E4">
        <w:rPr>
          <w:rFonts w:ascii="Cambria" w:hAnsi="Cambria" w:cs="Times New Roman"/>
          <w:i/>
          <w:color w:val="000000"/>
        </w:rPr>
        <w:t xml:space="preserve"> </w:t>
      </w:r>
      <w:r w:rsidR="003111B8" w:rsidRPr="00B044E4">
        <w:rPr>
          <w:rFonts w:ascii="Cambria" w:hAnsi="Cambria" w:cs="Times New Roman"/>
          <w:i/>
          <w:color w:val="000000"/>
        </w:rPr>
        <w:t xml:space="preserve">Intervention </w:t>
      </w:r>
      <w:r w:rsidRPr="00B044E4">
        <w:rPr>
          <w:rFonts w:ascii="Cambria" w:hAnsi="Cambria" w:cs="Times New Roman"/>
          <w:i/>
          <w:color w:val="000000"/>
        </w:rPr>
        <w:t>Logic</w:t>
      </w:r>
      <w:r w:rsidRPr="00B044E4">
        <w:rPr>
          <w:rFonts w:ascii="Cambria" w:hAnsi="Cambria" w:cs="Times New Roman"/>
          <w:color w:val="000000"/>
        </w:rPr>
        <w:t xml:space="preserve"> application supports </w:t>
      </w:r>
      <w:r w:rsidR="003111B8" w:rsidRPr="00B044E4">
        <w:rPr>
          <w:rFonts w:ascii="Cambria" w:hAnsi="Cambria" w:cs="Times New Roman"/>
          <w:color w:val="000000"/>
        </w:rPr>
        <w:t>collaborative co-design in RIS3 process.</w:t>
      </w:r>
    </w:p>
    <w:p w:rsidR="001B0883" w:rsidRPr="00B044E4" w:rsidRDefault="001B0883" w:rsidP="00CA379D">
      <w:pPr>
        <w:spacing w:after="0" w:line="240" w:lineRule="auto"/>
        <w:jc w:val="both"/>
        <w:rPr>
          <w:rFonts w:ascii="Cambria" w:hAnsi="Cambria" w:cs="Times New Roman"/>
          <w:color w:val="000000"/>
        </w:rPr>
      </w:pPr>
    </w:p>
    <w:p w:rsidR="003111B8" w:rsidRPr="00B044E4" w:rsidRDefault="003111B8" w:rsidP="00CA379D">
      <w:pPr>
        <w:spacing w:after="0" w:line="240" w:lineRule="auto"/>
        <w:jc w:val="both"/>
        <w:rPr>
          <w:rFonts w:ascii="Cambria" w:hAnsi="Cambria" w:cs="Times New Roman"/>
          <w:color w:val="000000"/>
        </w:rPr>
      </w:pPr>
      <w:r w:rsidRPr="00B044E4">
        <w:rPr>
          <w:rFonts w:ascii="Cambria" w:hAnsi="Cambria" w:cs="Times New Roman"/>
          <w:color w:val="000000"/>
        </w:rPr>
        <w:t>Regional Assets Mapping allows regions to compile their regional profile and to compare it to other regions</w:t>
      </w:r>
      <w:r w:rsidR="00FD13A9">
        <w:rPr>
          <w:rFonts w:ascii="Cambria" w:hAnsi="Cambria" w:cs="Times New Roman"/>
          <w:color w:val="000000"/>
        </w:rPr>
        <w:t xml:space="preserve"> (see Annex 2.1</w:t>
      </w:r>
      <w:r w:rsidR="005B653A" w:rsidRPr="00B044E4">
        <w:rPr>
          <w:rFonts w:ascii="Cambria" w:hAnsi="Cambria" w:cs="Times New Roman"/>
          <w:color w:val="000000"/>
        </w:rPr>
        <w:t>)</w:t>
      </w:r>
      <w:r w:rsidRPr="00B044E4">
        <w:rPr>
          <w:rFonts w:ascii="Cambria" w:hAnsi="Cambria" w:cs="Times New Roman"/>
          <w:color w:val="000000"/>
        </w:rPr>
        <w:t xml:space="preserve">. As part of the European Structural and Investment Funds agreement, all EU regions must produce a descriptive analysis on their regional assets, e.g. economic performance, employment and infrastructure. Based on the investigation of 30 regions and their current methods applied for RIS3, the degree of sophistication of regional profiling varies considerably between the regions (Grienice et al., 2016). Regional Assets Mapping </w:t>
      </w:r>
      <w:r w:rsidRPr="00B044E4">
        <w:rPr>
          <w:rFonts w:ascii="Cambria" w:hAnsi="Cambria" w:cs="Times New Roman"/>
          <w:color w:val="000000"/>
        </w:rPr>
        <w:lastRenderedPageBreak/>
        <w:t>integrates the regional profile data into a searchable platform, to enable anyone to access, compare and produce visually appealing reports on regional assets across the EU. Regional Assets Mapping uses data provided by Eurostat and follow Eurostat’s NUTS (Nomenclature of Territorial Units for Statistics) system for dividing the</w:t>
      </w:r>
      <w:r w:rsidR="005B653A" w:rsidRPr="00B044E4">
        <w:rPr>
          <w:rFonts w:ascii="Cambria" w:hAnsi="Cambria" w:cs="Times New Roman"/>
          <w:color w:val="000000"/>
        </w:rPr>
        <w:t xml:space="preserve"> economic territory of the EU.</w:t>
      </w:r>
    </w:p>
    <w:p w:rsidR="001B0883" w:rsidRPr="00B044E4" w:rsidRDefault="001B0883" w:rsidP="00CA379D">
      <w:pPr>
        <w:spacing w:after="0" w:line="240" w:lineRule="auto"/>
        <w:jc w:val="both"/>
        <w:rPr>
          <w:rFonts w:ascii="Cambria" w:hAnsi="Cambria" w:cs="Times New Roman"/>
          <w:color w:val="000000"/>
          <w:sz w:val="20"/>
        </w:rPr>
      </w:pPr>
    </w:p>
    <w:p w:rsidR="003111B8" w:rsidRPr="00B044E4" w:rsidRDefault="00D94D87" w:rsidP="00CA379D">
      <w:pPr>
        <w:spacing w:after="0" w:line="240" w:lineRule="auto"/>
        <w:jc w:val="both"/>
        <w:rPr>
          <w:rFonts w:ascii="Cambria" w:hAnsi="Cambria" w:cs="Times New Roman"/>
          <w:color w:val="000000"/>
        </w:rPr>
      </w:pPr>
      <w:r w:rsidRPr="00B044E4">
        <w:rPr>
          <w:rFonts w:ascii="Cambria" w:hAnsi="Cambria" w:cs="Times New Roman"/>
          <w:color w:val="000000"/>
        </w:rPr>
        <w:t xml:space="preserve">The </w:t>
      </w:r>
      <w:r w:rsidR="003111B8" w:rsidRPr="00B044E4">
        <w:rPr>
          <w:rFonts w:ascii="Cambria" w:hAnsi="Cambria" w:cs="Times New Roman"/>
          <w:i/>
          <w:color w:val="000000"/>
        </w:rPr>
        <w:t>Scenario Building</w:t>
      </w:r>
      <w:r w:rsidR="003111B8" w:rsidRPr="00B044E4">
        <w:rPr>
          <w:rFonts w:ascii="Cambria" w:hAnsi="Cambria" w:cs="Times New Roman"/>
          <w:color w:val="000000"/>
        </w:rPr>
        <w:t xml:space="preserve"> </w:t>
      </w:r>
      <w:r w:rsidRPr="00B044E4">
        <w:rPr>
          <w:rFonts w:ascii="Cambria" w:hAnsi="Cambria" w:cs="Times New Roman"/>
          <w:color w:val="000000"/>
        </w:rPr>
        <w:t xml:space="preserve">application </w:t>
      </w:r>
      <w:r w:rsidR="003111B8" w:rsidRPr="00B044E4">
        <w:rPr>
          <w:rFonts w:ascii="Cambria" w:hAnsi="Cambria" w:cs="Times New Roman"/>
          <w:color w:val="000000"/>
        </w:rPr>
        <w:t>supports the development of regional scenarios and the assessment of their implications for the region. According to Grienice et al. (2016) Scenario Building is currently used in about 30% of regions. One of the most comprehensive and broad foresight exercises was implemented in Lithuania using a mixed qualitative and quantitative method approach including expert panels, surveys, statistical and bibliometrical analysis, roadmaps, and analytical studies on the emerging trends and long</w:t>
      </w:r>
      <w:r w:rsidR="001B0883" w:rsidRPr="00B044E4">
        <w:rPr>
          <w:rFonts w:ascii="Cambria" w:hAnsi="Cambria" w:cs="Times New Roman"/>
          <w:color w:val="000000"/>
        </w:rPr>
        <w:t>-</w:t>
      </w:r>
      <w:r w:rsidR="003111B8" w:rsidRPr="00B044E4">
        <w:rPr>
          <w:rFonts w:ascii="Cambria" w:hAnsi="Cambria" w:cs="Times New Roman"/>
          <w:color w:val="000000"/>
        </w:rPr>
        <w:t>term challenges (Paliokaitė et al., 2015). Not all regions have the competences and experience of scenario building, which motivated the development of ONLINE-S3 Scenario Building</w:t>
      </w:r>
      <w:r w:rsidRPr="00B044E4">
        <w:rPr>
          <w:rFonts w:ascii="Cambria" w:hAnsi="Cambria" w:cs="Times New Roman"/>
          <w:color w:val="000000"/>
        </w:rPr>
        <w:t xml:space="preserve"> application</w:t>
      </w:r>
      <w:r w:rsidR="003111B8" w:rsidRPr="00B044E4">
        <w:rPr>
          <w:rFonts w:ascii="Cambria" w:hAnsi="Cambria" w:cs="Times New Roman"/>
          <w:color w:val="000000"/>
        </w:rPr>
        <w:t xml:space="preserve">. It </w:t>
      </w:r>
      <w:r w:rsidRPr="00B044E4">
        <w:rPr>
          <w:rFonts w:ascii="Cambria" w:hAnsi="Cambria" w:cs="Times New Roman"/>
          <w:color w:val="000000"/>
        </w:rPr>
        <w:t xml:space="preserve">consists of five templates that </w:t>
      </w:r>
      <w:r w:rsidR="003111B8" w:rsidRPr="00B044E4">
        <w:rPr>
          <w:rFonts w:ascii="Cambria" w:hAnsi="Cambria" w:cs="Times New Roman"/>
          <w:color w:val="000000"/>
        </w:rPr>
        <w:t>facilitate the implementation of each of the following key steps of the scenario building process.</w:t>
      </w:r>
    </w:p>
    <w:p w:rsidR="003111B8" w:rsidRPr="00B044E4" w:rsidRDefault="003111B8" w:rsidP="00CA379D">
      <w:pPr>
        <w:pStyle w:val="ListParagraph"/>
        <w:numPr>
          <w:ilvl w:val="0"/>
          <w:numId w:val="12"/>
        </w:numPr>
        <w:jc w:val="both"/>
        <w:rPr>
          <w:rFonts w:ascii="Cambria" w:hAnsi="Cambria" w:cs="Times New Roman"/>
          <w:color w:val="000000"/>
          <w:lang w:val="en-GB"/>
        </w:rPr>
      </w:pPr>
      <w:r w:rsidRPr="00B044E4">
        <w:rPr>
          <w:rFonts w:ascii="Cambria" w:hAnsi="Cambria" w:cs="Times New Roman"/>
          <w:color w:val="000000"/>
          <w:lang w:val="en-GB"/>
        </w:rPr>
        <w:t>Identify future trends and uncertainties (PEST analysis template)</w:t>
      </w:r>
    </w:p>
    <w:p w:rsidR="003111B8" w:rsidRPr="00B044E4" w:rsidRDefault="003111B8" w:rsidP="00CA379D">
      <w:pPr>
        <w:pStyle w:val="ListParagraph"/>
        <w:numPr>
          <w:ilvl w:val="0"/>
          <w:numId w:val="12"/>
        </w:numPr>
        <w:jc w:val="both"/>
        <w:rPr>
          <w:rFonts w:ascii="Cambria" w:hAnsi="Cambria" w:cs="Times New Roman"/>
          <w:color w:val="000000"/>
          <w:lang w:val="en-GB"/>
        </w:rPr>
      </w:pPr>
      <w:r w:rsidRPr="00B044E4">
        <w:rPr>
          <w:rFonts w:ascii="Cambria" w:hAnsi="Cambria" w:cs="Times New Roman"/>
          <w:color w:val="000000"/>
          <w:lang w:val="en-GB"/>
        </w:rPr>
        <w:t>Assess the importance of each trend and uncertainty (Impact analysis template)</w:t>
      </w:r>
    </w:p>
    <w:p w:rsidR="003111B8" w:rsidRPr="00B044E4" w:rsidRDefault="003111B8" w:rsidP="00CA379D">
      <w:pPr>
        <w:pStyle w:val="ListParagraph"/>
        <w:numPr>
          <w:ilvl w:val="0"/>
          <w:numId w:val="12"/>
        </w:numPr>
        <w:jc w:val="both"/>
        <w:rPr>
          <w:rFonts w:ascii="Cambria" w:hAnsi="Cambria" w:cs="Times New Roman"/>
          <w:color w:val="000000"/>
          <w:lang w:val="en-GB"/>
        </w:rPr>
      </w:pPr>
      <w:r w:rsidRPr="00B044E4">
        <w:rPr>
          <w:rFonts w:ascii="Cambria" w:hAnsi="Cambria" w:cs="Times New Roman"/>
          <w:color w:val="000000"/>
          <w:lang w:val="en-GB"/>
        </w:rPr>
        <w:t>Form scenarios (Scenario building template)</w:t>
      </w:r>
    </w:p>
    <w:p w:rsidR="003111B8" w:rsidRPr="00B044E4" w:rsidRDefault="003111B8" w:rsidP="00CA379D">
      <w:pPr>
        <w:pStyle w:val="ListParagraph"/>
        <w:numPr>
          <w:ilvl w:val="0"/>
          <w:numId w:val="12"/>
        </w:numPr>
        <w:jc w:val="both"/>
        <w:rPr>
          <w:rFonts w:ascii="Cambria" w:hAnsi="Cambria" w:cs="Times New Roman"/>
          <w:color w:val="000000"/>
          <w:lang w:val="en-GB"/>
        </w:rPr>
      </w:pPr>
      <w:r w:rsidRPr="00B044E4">
        <w:rPr>
          <w:rFonts w:ascii="Cambria" w:hAnsi="Cambria" w:cs="Times New Roman"/>
          <w:color w:val="000000"/>
          <w:lang w:val="en-GB"/>
        </w:rPr>
        <w:t>Describe scenarios in-depth (Scenario description template)</w:t>
      </w:r>
    </w:p>
    <w:p w:rsidR="003111B8" w:rsidRPr="00B044E4" w:rsidRDefault="003111B8" w:rsidP="00CA379D">
      <w:pPr>
        <w:pStyle w:val="ListParagraph"/>
        <w:numPr>
          <w:ilvl w:val="0"/>
          <w:numId w:val="12"/>
        </w:numPr>
        <w:jc w:val="both"/>
        <w:rPr>
          <w:rFonts w:ascii="Cambria" w:hAnsi="Cambria" w:cs="Times New Roman"/>
          <w:color w:val="000000"/>
          <w:lang w:val="en-GB"/>
        </w:rPr>
      </w:pPr>
      <w:r w:rsidRPr="00B044E4">
        <w:rPr>
          <w:rFonts w:ascii="Cambria" w:hAnsi="Cambria" w:cs="Times New Roman"/>
          <w:color w:val="000000"/>
          <w:lang w:val="en-GB"/>
        </w:rPr>
        <w:t>Assess scenario implications and plan for preparatory actions (Preparation plan template)</w:t>
      </w:r>
    </w:p>
    <w:p w:rsidR="003111B8" w:rsidRPr="00B044E4" w:rsidRDefault="003111B8" w:rsidP="00CA379D">
      <w:pPr>
        <w:spacing w:after="0" w:line="240" w:lineRule="auto"/>
        <w:jc w:val="both"/>
        <w:rPr>
          <w:rFonts w:ascii="Cambria" w:hAnsi="Cambria" w:cs="Times New Roman"/>
          <w:color w:val="000000"/>
        </w:rPr>
      </w:pPr>
    </w:p>
    <w:p w:rsidR="003111B8" w:rsidRPr="00B044E4" w:rsidRDefault="003111B8" w:rsidP="00CA379D">
      <w:pPr>
        <w:spacing w:after="0" w:line="240" w:lineRule="auto"/>
        <w:jc w:val="both"/>
        <w:rPr>
          <w:rFonts w:ascii="Cambria" w:hAnsi="Cambria" w:cs="Times New Roman"/>
          <w:color w:val="000000"/>
        </w:rPr>
      </w:pPr>
      <w:r w:rsidRPr="00B044E4">
        <w:rPr>
          <w:rFonts w:ascii="Cambria" w:hAnsi="Cambria" w:cs="Times New Roman"/>
          <w:color w:val="000000"/>
        </w:rPr>
        <w:t xml:space="preserve">PEST (Political, Economic, Social, Technological) - analysis is a framework which allows structuring uncertainties and trends. </w:t>
      </w:r>
      <w:r w:rsidR="005B653A" w:rsidRPr="00B044E4">
        <w:rPr>
          <w:rFonts w:ascii="Cambria" w:hAnsi="Cambria" w:cs="Times New Roman"/>
          <w:color w:val="000000"/>
        </w:rPr>
        <w:t>Since there is a dreadful number</w:t>
      </w:r>
      <w:r w:rsidRPr="00B044E4">
        <w:rPr>
          <w:rFonts w:ascii="Cambria" w:hAnsi="Cambria" w:cs="Times New Roman"/>
          <w:color w:val="000000"/>
        </w:rPr>
        <w:t xml:space="preserve"> of factors that may affect the region’s future, the uncertainties become easier to assess when they are categorised in the PEST categories. Assessing the importance and the level of uncertainty associated with all trends and uncertainties allows the selection of scenario axes. This activity should involve all relevant regional stakeholders </w:t>
      </w:r>
      <w:r w:rsidR="005B653A" w:rsidRPr="00B044E4">
        <w:rPr>
          <w:rFonts w:ascii="Cambria" w:hAnsi="Cambria" w:cs="Times New Roman"/>
          <w:color w:val="000000"/>
        </w:rPr>
        <w:t>to</w:t>
      </w:r>
      <w:r w:rsidRPr="00B044E4">
        <w:rPr>
          <w:rFonts w:ascii="Cambria" w:hAnsi="Cambria" w:cs="Times New Roman"/>
          <w:color w:val="000000"/>
        </w:rPr>
        <w:t xml:space="preserve"> identify together the most important and uncertain factors affecting the future development of the region. The two uncertainties with the highest level of uncertainty and importance form</w:t>
      </w:r>
      <w:r w:rsidR="005B653A" w:rsidRPr="00B044E4">
        <w:rPr>
          <w:rFonts w:ascii="Cambria" w:hAnsi="Cambria" w:cs="Times New Roman"/>
          <w:color w:val="000000"/>
        </w:rPr>
        <w:t xml:space="preserve"> the scenario axes (see</w:t>
      </w:r>
      <w:r w:rsidR="00FD13A9">
        <w:rPr>
          <w:rFonts w:ascii="Cambria" w:hAnsi="Cambria" w:cs="Times New Roman"/>
          <w:color w:val="000000"/>
        </w:rPr>
        <w:t xml:space="preserve"> Annex 3.2.</w:t>
      </w:r>
      <w:r w:rsidRPr="00B044E4">
        <w:rPr>
          <w:rFonts w:ascii="Cambria" w:hAnsi="Cambria" w:cs="Times New Roman"/>
          <w:color w:val="000000"/>
        </w:rPr>
        <w:t>).</w:t>
      </w:r>
    </w:p>
    <w:p w:rsidR="001B0883" w:rsidRPr="00B044E4" w:rsidRDefault="001B0883" w:rsidP="00CA379D">
      <w:pPr>
        <w:spacing w:after="0" w:line="240" w:lineRule="auto"/>
        <w:jc w:val="both"/>
        <w:rPr>
          <w:rFonts w:ascii="Cambria" w:hAnsi="Cambria" w:cs="Times New Roman"/>
          <w:color w:val="000000"/>
        </w:rPr>
      </w:pPr>
    </w:p>
    <w:p w:rsidR="003111B8" w:rsidRPr="00B044E4" w:rsidRDefault="003111B8" w:rsidP="00CA379D">
      <w:pPr>
        <w:spacing w:after="0" w:line="240" w:lineRule="auto"/>
        <w:jc w:val="both"/>
        <w:rPr>
          <w:rFonts w:ascii="Cambria" w:hAnsi="Cambria" w:cs="Times New Roman"/>
          <w:color w:val="000000"/>
        </w:rPr>
      </w:pPr>
      <w:r w:rsidRPr="00B044E4">
        <w:rPr>
          <w:rFonts w:ascii="Cambria" w:hAnsi="Cambria" w:cs="Times New Roman"/>
          <w:color w:val="000000"/>
        </w:rPr>
        <w:t>After forming the regional scenarios, the next step is to develop in-depth descriptions of the scenarios. The more intriguing the scenarios are, the more they tease out creative thinking, solutions and preparation plans in the next phase. Thus, good scenarios should include storylines and detailed portrayals of what life is like in the region in the scenario. The assessment of scenario implications includes the identification of common opportunities or challenges across the different scenarios (For-Learn, 2008). These things should feed into the development of the regional strategy. While the desktop research supports the collection of data on regional trends and uncertainties, the involvement of regional stakeholders is necessary to analyse the data, build scenarios and assess their implications to understand different viewpoints and commit different stakeholders to the scenario work.</w:t>
      </w:r>
    </w:p>
    <w:p w:rsidR="001B0883" w:rsidRPr="00B044E4" w:rsidRDefault="001B0883" w:rsidP="00CA379D">
      <w:pPr>
        <w:spacing w:after="0" w:line="240" w:lineRule="auto"/>
        <w:jc w:val="both"/>
        <w:rPr>
          <w:rFonts w:ascii="Cambria" w:hAnsi="Cambria" w:cs="Times New Roman"/>
          <w:color w:val="000000"/>
        </w:rPr>
      </w:pPr>
    </w:p>
    <w:p w:rsidR="003111B8" w:rsidRPr="00B044E4" w:rsidRDefault="003111B8" w:rsidP="00CA379D">
      <w:pPr>
        <w:spacing w:after="0" w:line="240" w:lineRule="auto"/>
        <w:jc w:val="both"/>
        <w:rPr>
          <w:rFonts w:ascii="Cambria" w:hAnsi="Cambria" w:cs="Times New Roman"/>
          <w:color w:val="000000"/>
        </w:rPr>
      </w:pPr>
      <w:r w:rsidRPr="00B044E4">
        <w:rPr>
          <w:rFonts w:ascii="Cambria" w:hAnsi="Cambria" w:cs="Times New Roman"/>
          <w:color w:val="000000"/>
        </w:rPr>
        <w:t xml:space="preserve">The </w:t>
      </w:r>
      <w:r w:rsidR="005B653A" w:rsidRPr="00B044E4">
        <w:rPr>
          <w:rFonts w:ascii="Cambria" w:hAnsi="Cambria" w:cs="Times New Roman"/>
          <w:i/>
          <w:color w:val="000000"/>
        </w:rPr>
        <w:t xml:space="preserve">Intervention </w:t>
      </w:r>
      <w:r w:rsidRPr="00B044E4">
        <w:rPr>
          <w:rFonts w:ascii="Cambria" w:hAnsi="Cambria" w:cs="Times New Roman"/>
          <w:i/>
          <w:color w:val="000000"/>
        </w:rPr>
        <w:t>Logic</w:t>
      </w:r>
      <w:r w:rsidRPr="00B044E4">
        <w:rPr>
          <w:rFonts w:ascii="Cambria" w:hAnsi="Cambria" w:cs="Times New Roman"/>
          <w:color w:val="000000"/>
        </w:rPr>
        <w:t xml:space="preserve"> </w:t>
      </w:r>
      <w:r w:rsidR="005B653A" w:rsidRPr="00B044E4">
        <w:rPr>
          <w:rFonts w:ascii="Cambria" w:hAnsi="Cambria" w:cs="Times New Roman"/>
          <w:color w:val="000000"/>
        </w:rPr>
        <w:t>application</w:t>
      </w:r>
      <w:r w:rsidRPr="00B044E4">
        <w:rPr>
          <w:rFonts w:ascii="Cambria" w:hAnsi="Cambria" w:cs="Times New Roman"/>
          <w:color w:val="000000"/>
        </w:rPr>
        <w:t xml:space="preserve"> </w:t>
      </w:r>
      <w:r w:rsidR="005B653A" w:rsidRPr="00B044E4">
        <w:rPr>
          <w:rFonts w:ascii="Cambria" w:hAnsi="Cambria" w:cs="Times New Roman"/>
          <w:color w:val="000000"/>
        </w:rPr>
        <w:t xml:space="preserve">we developed </w:t>
      </w:r>
      <w:r w:rsidRPr="00B044E4">
        <w:rPr>
          <w:rFonts w:ascii="Cambria" w:hAnsi="Cambria" w:cs="Times New Roman"/>
          <w:color w:val="000000"/>
        </w:rPr>
        <w:t xml:space="preserve">is based on the model of Gianelle and Kleibrink (2015). According to Grienice et al. (2016), only around 40% of regions have used the Logic of Intervention. Given that intervention logic should form the backbone for setting the overarching goals of smart specialisation, this seems to be a small share. Either regions are not well acquainted with the approaches to intervention logic design or they do not explicitly document their assumptions about causal chains of RIS3 policy intervention. The Intervention </w:t>
      </w:r>
      <w:r w:rsidR="00BE53B4" w:rsidRPr="00B044E4">
        <w:rPr>
          <w:rFonts w:ascii="Cambria" w:hAnsi="Cambria" w:cs="Times New Roman"/>
          <w:color w:val="000000"/>
        </w:rPr>
        <w:t xml:space="preserve">Logic </w:t>
      </w:r>
      <w:r w:rsidRPr="00B044E4">
        <w:rPr>
          <w:rFonts w:ascii="Cambria" w:hAnsi="Cambria" w:cs="Times New Roman"/>
          <w:color w:val="000000"/>
        </w:rPr>
        <w:t xml:space="preserve">assists the regions to develop the links between their RIS3 objectives, targets, inputs, actions, outputs, results and longer-term outcomes. The overall objective is to provide the rationale behind the RIS3 strategy to all stakeholders and to promote consensus among stakeholders regarding the overall logic. </w:t>
      </w:r>
    </w:p>
    <w:p w:rsidR="001B0883" w:rsidRPr="00B044E4" w:rsidRDefault="001B0883" w:rsidP="00CA379D">
      <w:pPr>
        <w:spacing w:after="0" w:line="240" w:lineRule="auto"/>
        <w:jc w:val="both"/>
        <w:rPr>
          <w:rFonts w:ascii="Cambria" w:hAnsi="Cambria" w:cs="Times New Roman"/>
          <w:color w:val="000000"/>
        </w:rPr>
      </w:pPr>
    </w:p>
    <w:p w:rsidR="003111B8" w:rsidRPr="00B044E4" w:rsidRDefault="003111B8" w:rsidP="00CA379D">
      <w:pPr>
        <w:spacing w:after="0" w:line="240" w:lineRule="auto"/>
        <w:jc w:val="both"/>
        <w:rPr>
          <w:rFonts w:ascii="Cambria" w:hAnsi="Cambria" w:cs="Times New Roman"/>
          <w:color w:val="000000"/>
        </w:rPr>
      </w:pPr>
      <w:r w:rsidRPr="00B044E4">
        <w:rPr>
          <w:rFonts w:ascii="Cambria" w:hAnsi="Cambria" w:cs="Times New Roman"/>
          <w:color w:val="000000"/>
        </w:rPr>
        <w:lastRenderedPageBreak/>
        <w:t xml:space="preserve">The </w:t>
      </w:r>
      <w:r w:rsidR="00BE53B4" w:rsidRPr="00B044E4">
        <w:rPr>
          <w:rFonts w:ascii="Cambria" w:hAnsi="Cambria" w:cs="Times New Roman"/>
          <w:color w:val="000000"/>
        </w:rPr>
        <w:t xml:space="preserve">application </w:t>
      </w:r>
      <w:r w:rsidRPr="00B044E4">
        <w:rPr>
          <w:rFonts w:ascii="Cambria" w:hAnsi="Cambria" w:cs="Times New Roman"/>
          <w:color w:val="000000"/>
        </w:rPr>
        <w:t xml:space="preserve">starts with the user selecting a specific Thematic Objective and Investment Priority and incorporating the information from RIS3 strategic planning process regarding the regional context, vision, policy </w:t>
      </w:r>
      <w:r w:rsidR="00BE53B4" w:rsidRPr="00B044E4">
        <w:rPr>
          <w:rFonts w:ascii="Cambria" w:hAnsi="Cambria" w:cs="Times New Roman"/>
          <w:color w:val="000000"/>
        </w:rPr>
        <w:t xml:space="preserve">mix and monitoring (see </w:t>
      </w:r>
      <w:r w:rsidR="00FD13A9">
        <w:rPr>
          <w:rFonts w:ascii="Cambria" w:hAnsi="Cambria" w:cs="Times New Roman"/>
          <w:color w:val="000000"/>
        </w:rPr>
        <w:t>Annex 5.1.</w:t>
      </w:r>
      <w:r w:rsidRPr="00B044E4">
        <w:rPr>
          <w:rFonts w:ascii="Cambria" w:hAnsi="Cambria" w:cs="Times New Roman"/>
          <w:color w:val="000000"/>
        </w:rPr>
        <w:t xml:space="preserve">). After this step, the user is to describe the connections between the main building blocks of the intervention logic. A set of 7 questions help the user to provide a precise description of the rationale behind the selection of the specific priorities, policy mix and monitoring indicators for the corresponding investment priority. </w:t>
      </w:r>
    </w:p>
    <w:p w:rsidR="001B0883" w:rsidRPr="00B044E4" w:rsidRDefault="001B0883" w:rsidP="00CA379D">
      <w:pPr>
        <w:spacing w:after="0" w:line="240" w:lineRule="auto"/>
        <w:jc w:val="both"/>
        <w:rPr>
          <w:rFonts w:ascii="Cambria" w:hAnsi="Cambria" w:cs="Times New Roman"/>
          <w:color w:val="000000"/>
        </w:rPr>
      </w:pPr>
    </w:p>
    <w:p w:rsidR="003111B8" w:rsidRPr="00B044E4" w:rsidRDefault="003111B8" w:rsidP="00CA379D">
      <w:pPr>
        <w:spacing w:after="0" w:line="240" w:lineRule="auto"/>
        <w:jc w:val="both"/>
        <w:rPr>
          <w:rFonts w:ascii="Cambria" w:hAnsi="Cambria" w:cs="Times New Roman"/>
          <w:color w:val="000000"/>
        </w:rPr>
      </w:pPr>
      <w:r w:rsidRPr="00B044E4">
        <w:rPr>
          <w:rFonts w:ascii="Cambria" w:hAnsi="Cambria" w:cs="Times New Roman"/>
          <w:color w:val="000000"/>
        </w:rPr>
        <w:t xml:space="preserve">Data intelligence and collaborative co-design tools facilitate implementing inclusive, evidence-based EDP in the region, and thus bridging the gap between RIS3 theory and practice. In addition, successful implementation of the tools and continuous participatory EDP requires strong commitment to smart specialisation at various institutional levels (Grillo, 2017; Rodriguez-Pose and Wilkie, 2017). </w:t>
      </w:r>
    </w:p>
    <w:p w:rsidR="003111B8" w:rsidRPr="00B044E4" w:rsidRDefault="003111B8" w:rsidP="00CA379D">
      <w:pPr>
        <w:spacing w:after="0" w:line="240" w:lineRule="auto"/>
        <w:jc w:val="both"/>
        <w:rPr>
          <w:rFonts w:ascii="Cambria" w:hAnsi="Cambria" w:cs="Times New Roman"/>
          <w:color w:val="000000"/>
        </w:rPr>
      </w:pPr>
    </w:p>
    <w:p w:rsidR="003111B8" w:rsidRPr="00B044E4" w:rsidRDefault="003111B8" w:rsidP="00CA379D">
      <w:pPr>
        <w:spacing w:after="0" w:line="240" w:lineRule="auto"/>
        <w:jc w:val="both"/>
        <w:rPr>
          <w:rFonts w:ascii="Cambria" w:hAnsi="Cambria" w:cs="Times New Roman"/>
          <w:color w:val="000000"/>
        </w:rPr>
      </w:pPr>
    </w:p>
    <w:p w:rsidR="003111B8" w:rsidRPr="00B044E4" w:rsidRDefault="00CE1D86" w:rsidP="00CA379D">
      <w:pPr>
        <w:spacing w:after="0" w:line="240" w:lineRule="auto"/>
        <w:rPr>
          <w:rFonts w:ascii="Cambria" w:hAnsi="Cambria" w:cs="Arial"/>
          <w:color w:val="0070C0"/>
          <w:sz w:val="32"/>
          <w:szCs w:val="24"/>
        </w:rPr>
      </w:pPr>
      <w:r w:rsidRPr="00B044E4">
        <w:rPr>
          <w:rFonts w:ascii="Cambria" w:hAnsi="Cambria" w:cs="Times New Roman"/>
          <w:color w:val="0070C0"/>
          <w:sz w:val="32"/>
          <w:szCs w:val="24"/>
        </w:rPr>
        <w:t xml:space="preserve">6. Moving </w:t>
      </w:r>
      <w:r w:rsidR="00ED1AA3" w:rsidRPr="00B044E4">
        <w:rPr>
          <w:rFonts w:ascii="Cambria" w:hAnsi="Cambria" w:cs="Times New Roman"/>
          <w:color w:val="0070C0"/>
          <w:sz w:val="32"/>
          <w:szCs w:val="24"/>
        </w:rPr>
        <w:t xml:space="preserve">RIS3 </w:t>
      </w:r>
      <w:r w:rsidRPr="00B044E4">
        <w:rPr>
          <w:rFonts w:ascii="Cambria" w:hAnsi="Cambria" w:cs="Times New Roman"/>
          <w:color w:val="0070C0"/>
          <w:sz w:val="32"/>
          <w:szCs w:val="24"/>
        </w:rPr>
        <w:t>forward</w:t>
      </w:r>
      <w:r w:rsidR="00ED1AA3" w:rsidRPr="00B044E4">
        <w:rPr>
          <w:rFonts w:ascii="Cambria" w:hAnsi="Cambria" w:cs="Times New Roman"/>
          <w:color w:val="0070C0"/>
          <w:sz w:val="32"/>
          <w:szCs w:val="24"/>
        </w:rPr>
        <w:t>:</w:t>
      </w:r>
      <w:r w:rsidRPr="00B044E4">
        <w:rPr>
          <w:rFonts w:ascii="Cambria" w:hAnsi="Cambria" w:cs="Times New Roman"/>
          <w:color w:val="0070C0"/>
          <w:sz w:val="32"/>
          <w:szCs w:val="24"/>
        </w:rPr>
        <w:t xml:space="preserve"> from </w:t>
      </w:r>
      <w:r w:rsidR="001B0883" w:rsidRPr="00B044E4">
        <w:rPr>
          <w:rFonts w:ascii="Cambria" w:hAnsi="Cambria" w:cs="Arial"/>
          <w:color w:val="0070C0"/>
          <w:sz w:val="32"/>
          <w:szCs w:val="24"/>
        </w:rPr>
        <w:t>t</w:t>
      </w:r>
      <w:r w:rsidR="003111B8" w:rsidRPr="00B044E4">
        <w:rPr>
          <w:rFonts w:ascii="Cambria" w:hAnsi="Cambria" w:cs="Arial"/>
          <w:color w:val="0070C0"/>
          <w:sz w:val="32"/>
          <w:szCs w:val="24"/>
        </w:rPr>
        <w:t xml:space="preserve">riple </w:t>
      </w:r>
      <w:r w:rsidR="001B0883" w:rsidRPr="00B044E4">
        <w:rPr>
          <w:rFonts w:ascii="Cambria" w:hAnsi="Cambria" w:cs="Arial"/>
          <w:color w:val="0070C0"/>
          <w:sz w:val="32"/>
          <w:szCs w:val="24"/>
        </w:rPr>
        <w:t>to qu</w:t>
      </w:r>
      <w:r w:rsidR="003111B8" w:rsidRPr="00B044E4">
        <w:rPr>
          <w:rFonts w:ascii="Cambria" w:hAnsi="Cambria" w:cs="Arial"/>
          <w:color w:val="0070C0"/>
          <w:sz w:val="32"/>
          <w:szCs w:val="24"/>
        </w:rPr>
        <w:t xml:space="preserve">adruple </w:t>
      </w:r>
      <w:r w:rsidR="001B0883" w:rsidRPr="00B044E4">
        <w:rPr>
          <w:rFonts w:ascii="Cambria" w:hAnsi="Cambria" w:cs="Arial"/>
          <w:color w:val="0070C0"/>
          <w:sz w:val="32"/>
          <w:szCs w:val="24"/>
        </w:rPr>
        <w:t>h</w:t>
      </w:r>
      <w:r w:rsidR="003111B8" w:rsidRPr="00B044E4">
        <w:rPr>
          <w:rFonts w:ascii="Cambria" w:hAnsi="Cambria" w:cs="Arial"/>
          <w:color w:val="0070C0"/>
          <w:sz w:val="32"/>
          <w:szCs w:val="24"/>
        </w:rPr>
        <w:t xml:space="preserve">elix </w:t>
      </w:r>
    </w:p>
    <w:p w:rsidR="003111B8" w:rsidRPr="00B044E4" w:rsidRDefault="003111B8" w:rsidP="00CA379D">
      <w:pPr>
        <w:widowControl w:val="0"/>
        <w:autoSpaceDE w:val="0"/>
        <w:autoSpaceDN w:val="0"/>
        <w:adjustRightInd w:val="0"/>
        <w:spacing w:after="0" w:line="240" w:lineRule="auto"/>
        <w:rPr>
          <w:rFonts w:ascii="Cambria" w:hAnsi="Cambria" w:cs="Arial"/>
          <w:b/>
        </w:rPr>
      </w:pPr>
    </w:p>
    <w:p w:rsidR="003111B8" w:rsidRPr="00B044E4" w:rsidRDefault="003111B8"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 xml:space="preserve">The triple and quadruple-helix models both take </w:t>
      </w:r>
      <w:r w:rsidR="006C4226" w:rsidRPr="00B044E4">
        <w:rPr>
          <w:rFonts w:ascii="Cambria" w:hAnsi="Cambria" w:cs="Arial"/>
        </w:rPr>
        <w:t>centre</w:t>
      </w:r>
      <w:r w:rsidRPr="00B044E4">
        <w:rPr>
          <w:rFonts w:ascii="Cambria" w:hAnsi="Cambria" w:cs="Arial"/>
        </w:rPr>
        <w:t xml:space="preserve"> stage in the EPD of RIS3. While the Triple Helix appears to be the model of choice for Joanneum Research (2012), recent statements by the EC’s Joint Research Centre (JRC) clearly recognizes the EPD needs a platform of stakeholders broader than university, industry, and government for RIS3 to be democratic in governing the science and technology that underpins such prioritizations and which supports regional economic growth (Foray et al. 2012). Bearing in mind the significance of this statement from the JRC, the following shall provide a synopsis of the Triple and Quadruple-Helix models in the EPD and initial insights this offers into the governance of RIS3.</w:t>
      </w:r>
    </w:p>
    <w:p w:rsidR="003111B8" w:rsidRPr="00B044E4" w:rsidRDefault="003111B8" w:rsidP="00CA379D">
      <w:pPr>
        <w:widowControl w:val="0"/>
        <w:autoSpaceDE w:val="0"/>
        <w:autoSpaceDN w:val="0"/>
        <w:adjustRightInd w:val="0"/>
        <w:spacing w:after="0" w:line="240" w:lineRule="auto"/>
        <w:jc w:val="both"/>
        <w:rPr>
          <w:rFonts w:ascii="Cambria" w:hAnsi="Cambria" w:cs="Arial"/>
          <w:b/>
        </w:rPr>
      </w:pPr>
    </w:p>
    <w:p w:rsidR="003111B8" w:rsidRPr="00761DF1" w:rsidRDefault="003111B8" w:rsidP="0030720F">
      <w:pPr>
        <w:spacing w:after="120" w:line="240" w:lineRule="auto"/>
        <w:jc w:val="both"/>
        <w:rPr>
          <w:rFonts w:ascii="Cambria" w:hAnsi="Cambria" w:cs="Arial"/>
          <w:b/>
        </w:rPr>
      </w:pPr>
      <w:r w:rsidRPr="00761DF1">
        <w:rPr>
          <w:rFonts w:ascii="Cambria" w:hAnsi="Cambria" w:cs="Arial"/>
          <w:b/>
        </w:rPr>
        <w:t>The Triple Helix model</w:t>
      </w:r>
    </w:p>
    <w:p w:rsidR="003111B8" w:rsidRPr="00B044E4" w:rsidRDefault="003111B8" w:rsidP="00CA379D">
      <w:pPr>
        <w:spacing w:after="0" w:line="240" w:lineRule="auto"/>
        <w:jc w:val="both"/>
        <w:rPr>
          <w:rFonts w:ascii="Cambria" w:eastAsia="Times New Roman" w:hAnsi="Cambria" w:cs="Arial"/>
        </w:rPr>
      </w:pPr>
      <w:r w:rsidRPr="00B044E4">
        <w:rPr>
          <w:rFonts w:ascii="Cambria" w:hAnsi="Cambria" w:cs="Arial"/>
        </w:rPr>
        <w:t>Exponents of the Triple Helix (</w:t>
      </w:r>
      <w:r w:rsidRPr="00B044E4">
        <w:rPr>
          <w:rFonts w:ascii="Cambria" w:hAnsi="Cambria"/>
        </w:rPr>
        <w:t>Etzkowitz</w:t>
      </w:r>
      <w:r w:rsidRPr="00B044E4">
        <w:rPr>
          <w:rFonts w:ascii="Cambria" w:eastAsia="Times New Roman" w:hAnsi="Cambria" w:cs="Arial"/>
        </w:rPr>
        <w:t xml:space="preserve"> and</w:t>
      </w:r>
      <w:r w:rsidRPr="00B044E4">
        <w:rPr>
          <w:rStyle w:val="apple-converted-space"/>
          <w:rFonts w:ascii="Cambria" w:eastAsia="Times New Roman" w:hAnsi="Cambria" w:cs="Arial"/>
          <w:shd w:val="clear" w:color="auto" w:fill="FFFFFF"/>
        </w:rPr>
        <w:t> </w:t>
      </w:r>
      <w:r w:rsidRPr="00B044E4">
        <w:rPr>
          <w:rFonts w:ascii="Cambria" w:hAnsi="Cambria"/>
        </w:rPr>
        <w:t>Leydesdorff</w:t>
      </w:r>
      <w:r w:rsidR="00946223" w:rsidRPr="00B044E4">
        <w:rPr>
          <w:rFonts w:ascii="Cambria" w:hAnsi="Cambria"/>
        </w:rPr>
        <w:t>,</w:t>
      </w:r>
      <w:r w:rsidRPr="00B044E4">
        <w:rPr>
          <w:rStyle w:val="apple-converted-space"/>
          <w:rFonts w:ascii="Cambria" w:eastAsia="Times New Roman" w:hAnsi="Cambria" w:cs="Arial"/>
          <w:shd w:val="clear" w:color="auto" w:fill="FFFFFF"/>
        </w:rPr>
        <w:t xml:space="preserve"> 1</w:t>
      </w:r>
      <w:r w:rsidRPr="00B044E4">
        <w:rPr>
          <w:rFonts w:ascii="Cambria" w:eastAsia="Times New Roman" w:hAnsi="Cambria" w:cs="Arial"/>
          <w:shd w:val="clear" w:color="auto" w:fill="FFFFFF"/>
        </w:rPr>
        <w:t xml:space="preserve">997; </w:t>
      </w:r>
      <w:r w:rsidRPr="00B044E4">
        <w:rPr>
          <w:rFonts w:ascii="Cambria" w:hAnsi="Cambria" w:cs="Arial"/>
        </w:rPr>
        <w:t>Etzkowitz and Leydesdorff</w:t>
      </w:r>
      <w:r w:rsidR="00946223" w:rsidRPr="00B044E4">
        <w:rPr>
          <w:rFonts w:ascii="Cambria" w:hAnsi="Cambria" w:cs="Arial"/>
        </w:rPr>
        <w:t>,</w:t>
      </w:r>
      <w:r w:rsidRPr="00B044E4">
        <w:rPr>
          <w:rFonts w:ascii="Cambria" w:hAnsi="Cambria" w:cs="Arial"/>
        </w:rPr>
        <w:t xml:space="preserve"> 2002; Leydesdorff</w:t>
      </w:r>
      <w:r w:rsidR="00946223" w:rsidRPr="00B044E4">
        <w:rPr>
          <w:rFonts w:ascii="Cambria" w:hAnsi="Cambria" w:cs="Arial"/>
        </w:rPr>
        <w:t>,</w:t>
      </w:r>
      <w:r w:rsidRPr="00B044E4">
        <w:rPr>
          <w:rFonts w:ascii="Cambria" w:hAnsi="Cambria" w:cs="Arial"/>
        </w:rPr>
        <w:t xml:space="preserve"> 2005; </w:t>
      </w:r>
      <w:r w:rsidRPr="00B044E4">
        <w:rPr>
          <w:rFonts w:ascii="Cambria" w:hAnsi="Cambria" w:cs="Arial"/>
          <w:bCs/>
        </w:rPr>
        <w:t>Leydesdorff and Meyer</w:t>
      </w:r>
      <w:r w:rsidR="00946223" w:rsidRPr="00B044E4">
        <w:rPr>
          <w:rFonts w:ascii="Cambria" w:hAnsi="Cambria" w:cs="Arial"/>
          <w:bCs/>
        </w:rPr>
        <w:t>,</w:t>
      </w:r>
      <w:r w:rsidRPr="00B044E4">
        <w:rPr>
          <w:rFonts w:ascii="Cambria" w:hAnsi="Cambria" w:cs="Arial"/>
          <w:bCs/>
        </w:rPr>
        <w:t xml:space="preserve"> 2006</w:t>
      </w:r>
      <w:r w:rsidRPr="00B044E4">
        <w:rPr>
          <w:rFonts w:ascii="Cambria" w:hAnsi="Cambria" w:cs="Arial"/>
        </w:rPr>
        <w:t xml:space="preserve">) find Mode 2 accounts of social change, cultural development and economic growth wanting and explain the differences between innovation systems (national and regional) in terms of </w:t>
      </w:r>
      <w:r w:rsidRPr="00B044E4">
        <w:rPr>
          <w:rFonts w:ascii="Cambria" w:hAnsi="Cambria" w:cs="Arial"/>
          <w:iCs/>
        </w:rPr>
        <w:t>possible</w:t>
      </w:r>
      <w:r w:rsidRPr="00B044E4">
        <w:rPr>
          <w:rFonts w:ascii="Cambria" w:hAnsi="Cambria" w:cs="Arial"/>
          <w:i/>
          <w:iCs/>
        </w:rPr>
        <w:t xml:space="preserve"> </w:t>
      </w:r>
      <w:r w:rsidRPr="00B044E4">
        <w:rPr>
          <w:rFonts w:ascii="Cambria" w:hAnsi="Cambria" w:cs="Arial"/>
        </w:rPr>
        <w:t xml:space="preserve">arrangements. Under this knowledge-based regime, each system remains in endless transition. This does not mean anything goes, but that emerging systems should not be reified as yet another variation on the theme, i.e. as the EDP of either national or regional research and innovation strategies, because the interacting </w:t>
      </w:r>
      <w:r w:rsidRPr="00B044E4">
        <w:rPr>
          <w:rFonts w:ascii="Cambria" w:hAnsi="Cambria" w:cs="Arial"/>
          <w:iCs/>
        </w:rPr>
        <w:t>uncertainties</w:t>
      </w:r>
      <w:r w:rsidRPr="00B044E4">
        <w:rPr>
          <w:rFonts w:ascii="Cambria" w:hAnsi="Cambria" w:cs="Arial"/>
          <w:i/>
          <w:iCs/>
        </w:rPr>
        <w:t xml:space="preserve"> </w:t>
      </w:r>
      <w:r w:rsidRPr="00B044E4">
        <w:rPr>
          <w:rFonts w:ascii="Cambria" w:hAnsi="Cambria" w:cs="Arial"/>
        </w:rPr>
        <w:t xml:space="preserve">which the reflexive instability any such specialisation strategy generates, itself does much to determine the prioritization of science and technology they reflect. </w:t>
      </w:r>
    </w:p>
    <w:p w:rsidR="003111B8" w:rsidRPr="00B044E4" w:rsidRDefault="003111B8" w:rsidP="00CA379D">
      <w:pPr>
        <w:widowControl w:val="0"/>
        <w:autoSpaceDE w:val="0"/>
        <w:autoSpaceDN w:val="0"/>
        <w:adjustRightInd w:val="0"/>
        <w:spacing w:after="0" w:line="240" w:lineRule="auto"/>
        <w:jc w:val="both"/>
        <w:rPr>
          <w:rFonts w:ascii="Cambria" w:hAnsi="Cambria" w:cs="Arial"/>
        </w:rPr>
      </w:pPr>
    </w:p>
    <w:p w:rsidR="003111B8" w:rsidRPr="00B044E4" w:rsidRDefault="003111B8"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As a result, the Triple Helix studies university-industry-government relations and offers a neo-evolutionary model of research and innovation (Leydesdorff and Deakin</w:t>
      </w:r>
      <w:r w:rsidR="00946223" w:rsidRPr="00B044E4">
        <w:rPr>
          <w:rFonts w:ascii="Cambria" w:hAnsi="Cambria" w:cs="Arial"/>
        </w:rPr>
        <w:t>,</w:t>
      </w:r>
      <w:r w:rsidRPr="00B044E4">
        <w:rPr>
          <w:rFonts w:ascii="Cambria" w:hAnsi="Cambria" w:cs="Arial"/>
        </w:rPr>
        <w:t xml:space="preserve"> 2010). It also suggests there are three evolutionary functions cultivating the selection environments of both national and regional research and innovation: (1) intellectual capital of organized knowledge production; (2) wealth creation; and (3) reflexive control (Leydesdorff and Deakin</w:t>
      </w:r>
      <w:r w:rsidR="007A3047" w:rsidRPr="00B044E4">
        <w:rPr>
          <w:rFonts w:ascii="Cambria" w:hAnsi="Cambria" w:cs="Arial"/>
        </w:rPr>
        <w:t>,</w:t>
      </w:r>
      <w:r w:rsidRPr="00B044E4">
        <w:rPr>
          <w:rFonts w:ascii="Cambria" w:hAnsi="Cambria" w:cs="Arial"/>
        </w:rPr>
        <w:t xml:space="preserve"> 2011). </w:t>
      </w:r>
    </w:p>
    <w:p w:rsidR="003111B8" w:rsidRPr="00B044E4" w:rsidRDefault="003111B8" w:rsidP="00CA379D">
      <w:pPr>
        <w:widowControl w:val="0"/>
        <w:autoSpaceDE w:val="0"/>
        <w:autoSpaceDN w:val="0"/>
        <w:adjustRightInd w:val="0"/>
        <w:spacing w:after="0" w:line="240" w:lineRule="auto"/>
        <w:jc w:val="both"/>
        <w:rPr>
          <w:rFonts w:ascii="Cambria" w:hAnsi="Cambria" w:cs="Arial"/>
        </w:rPr>
      </w:pPr>
    </w:p>
    <w:p w:rsidR="003111B8" w:rsidRPr="00B044E4" w:rsidRDefault="003111B8"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Within the Triple Helix of this reflexive control, wealth creation and organized knowledge production, the EDP constitutes a broader platform of stakeholders from universities, industry and government that is not biologically inherited from an ecosystem, but which is socially constructed. Not inherited from an eco-system, but socially-constructed as the entrepreneurial discovery of a research and innovation strategy that is smart in the prioritization of a specialisation whose participatory governance of science and technology is able to sustain the economic growth of regions. This is the hallmark of that organized knowledge production, which the Triple Helix model champions (Deakin</w:t>
      </w:r>
      <w:r w:rsidR="007A3047" w:rsidRPr="00B044E4">
        <w:rPr>
          <w:rFonts w:ascii="Cambria" w:hAnsi="Cambria" w:cs="Arial"/>
        </w:rPr>
        <w:t>,</w:t>
      </w:r>
      <w:r w:rsidRPr="00B044E4">
        <w:rPr>
          <w:rFonts w:ascii="Cambria" w:hAnsi="Cambria" w:cs="Arial"/>
        </w:rPr>
        <w:t xml:space="preserve"> 2104; 2015; 2016). In particular, that organized knowledge production, which the Triple Helix model champions as the research and innovation of Smart Specialisation Strategies and whose participatory governance of science and technology </w:t>
      </w:r>
      <w:r w:rsidRPr="00B044E4">
        <w:rPr>
          <w:rFonts w:ascii="Cambria" w:hAnsi="Cambria" w:cs="Arial"/>
        </w:rPr>
        <w:lastRenderedPageBreak/>
        <w:t>is able to sustain regional economic growth (Deakin and Reid</w:t>
      </w:r>
      <w:r w:rsidR="007A3047" w:rsidRPr="00B044E4">
        <w:rPr>
          <w:rFonts w:ascii="Cambria" w:hAnsi="Cambria" w:cs="Arial"/>
        </w:rPr>
        <w:t>,</w:t>
      </w:r>
      <w:r w:rsidRPr="00B044E4">
        <w:rPr>
          <w:rFonts w:ascii="Cambria" w:hAnsi="Cambria" w:cs="Arial"/>
        </w:rPr>
        <w:t xml:space="preserve"> 2016; Deakin</w:t>
      </w:r>
      <w:r w:rsidR="007A3047" w:rsidRPr="00B044E4">
        <w:rPr>
          <w:rFonts w:ascii="Cambria" w:hAnsi="Cambria" w:cs="Arial"/>
        </w:rPr>
        <w:t>,</w:t>
      </w:r>
      <w:r w:rsidRPr="00B044E4">
        <w:rPr>
          <w:rFonts w:ascii="Cambria" w:hAnsi="Cambria" w:cs="Arial"/>
        </w:rPr>
        <w:t xml:space="preserve"> 2017).</w:t>
      </w:r>
    </w:p>
    <w:p w:rsidR="003111B8" w:rsidRPr="00761DF1" w:rsidRDefault="003111B8" w:rsidP="00CA379D">
      <w:pPr>
        <w:widowControl w:val="0"/>
        <w:autoSpaceDE w:val="0"/>
        <w:autoSpaceDN w:val="0"/>
        <w:adjustRightInd w:val="0"/>
        <w:spacing w:after="0" w:line="240" w:lineRule="auto"/>
        <w:jc w:val="both"/>
        <w:rPr>
          <w:rFonts w:ascii="Cambria" w:hAnsi="Cambria" w:cs="Arial"/>
        </w:rPr>
      </w:pPr>
    </w:p>
    <w:p w:rsidR="003111B8" w:rsidRPr="00761DF1" w:rsidRDefault="003111B8" w:rsidP="0030720F">
      <w:pPr>
        <w:spacing w:after="120" w:line="240" w:lineRule="auto"/>
        <w:jc w:val="both"/>
        <w:rPr>
          <w:rFonts w:ascii="Cambria" w:hAnsi="Cambria" w:cs="Arial"/>
          <w:b/>
        </w:rPr>
      </w:pPr>
      <w:r w:rsidRPr="00761DF1">
        <w:rPr>
          <w:rFonts w:ascii="Cambria" w:hAnsi="Cambria" w:cs="Arial"/>
          <w:b/>
        </w:rPr>
        <w:t>The Quadruple-Helix model</w:t>
      </w:r>
    </w:p>
    <w:p w:rsidR="003111B8" w:rsidRPr="00B044E4" w:rsidRDefault="003111B8" w:rsidP="00CA379D">
      <w:pPr>
        <w:spacing w:after="0" w:line="240" w:lineRule="auto"/>
        <w:jc w:val="both"/>
        <w:rPr>
          <w:rFonts w:ascii="Cambria" w:hAnsi="Cambria" w:cs="Arial"/>
        </w:rPr>
      </w:pPr>
      <w:r w:rsidRPr="00B044E4">
        <w:rPr>
          <w:rFonts w:ascii="Cambria" w:hAnsi="Cambria" w:cs="Arial"/>
        </w:rPr>
        <w:t>The Quadruple Helix constructs what this model refers to as the social ecology of the EPD and as the RIS3 of knowledge production (</w:t>
      </w:r>
      <w:r w:rsidRPr="00B044E4">
        <w:rPr>
          <w:rFonts w:ascii="Cambria" w:eastAsia="Times New Roman" w:hAnsi="Cambria" w:cs="Arial"/>
        </w:rPr>
        <w:t>Carayannis</w:t>
      </w:r>
      <w:r w:rsidRPr="00B044E4">
        <w:rPr>
          <w:rFonts w:ascii="Cambria" w:eastAsia="Times New Roman" w:hAnsi="Cambria" w:cs="Arial"/>
          <w:shd w:val="clear" w:color="auto" w:fill="FFFFFF"/>
        </w:rPr>
        <w:t xml:space="preserve"> and </w:t>
      </w:r>
      <w:hyperlink r:id="rId21" w:history="1">
        <w:r w:rsidRPr="00B044E4">
          <w:rPr>
            <w:rFonts w:ascii="Cambria" w:eastAsia="Times New Roman" w:hAnsi="Cambria" w:cs="Arial"/>
          </w:rPr>
          <w:t>Campbell</w:t>
        </w:r>
      </w:hyperlink>
      <w:r w:rsidRPr="00B044E4">
        <w:rPr>
          <w:rFonts w:ascii="Cambria" w:eastAsia="Times New Roman" w:hAnsi="Cambria" w:cs="Arial"/>
          <w:shd w:val="clear" w:color="auto" w:fill="FFFFFF"/>
        </w:rPr>
        <w:t xml:space="preserve"> 2009; 2012</w:t>
      </w:r>
      <w:r w:rsidRPr="00B044E4">
        <w:rPr>
          <w:rFonts w:ascii="Cambria" w:hAnsi="Cambria" w:cs="Arial"/>
        </w:rPr>
        <w:t>). The EC’s Guidance Notes for RIS3 recognizes the need for a participatory governance of science and technology and champions the virtues of the Quadruple-Helix as the model of</w:t>
      </w:r>
      <w:r w:rsidR="007A3047" w:rsidRPr="00B044E4">
        <w:rPr>
          <w:rFonts w:ascii="Cambria" w:hAnsi="Cambria" w:cs="Arial"/>
        </w:rPr>
        <w:t xml:space="preserve"> such knowledge production (Fora</w:t>
      </w:r>
      <w:r w:rsidRPr="00B044E4">
        <w:rPr>
          <w:rFonts w:ascii="Cambria" w:hAnsi="Cambria" w:cs="Arial"/>
        </w:rPr>
        <w:t>y</w:t>
      </w:r>
      <w:r w:rsidR="007A3047" w:rsidRPr="00B044E4">
        <w:rPr>
          <w:rFonts w:ascii="Cambria" w:hAnsi="Cambria" w:cs="Arial"/>
        </w:rPr>
        <w:t>,</w:t>
      </w:r>
      <w:r w:rsidRPr="00B044E4">
        <w:rPr>
          <w:rFonts w:ascii="Cambria" w:hAnsi="Cambria" w:cs="Arial"/>
        </w:rPr>
        <w:t xml:space="preserve"> et al. 2015). This model switches attention away from that universities, industry and government, that underpin the intellectual capital of organized knowledge production, and focuses instead on an EDP of a wealth creation able to support the reflexive control of RIS3. Which is to say, on the EPD of that wealth creation, which is able to secure the reflexive control of RIS3 on behalf of the public and as the user-centric communities of a democracy, whose participatory governance of civil society constructs an eco-system that is able to sustain the economic growth of regions (</w:t>
      </w:r>
      <w:r w:rsidRPr="00B044E4">
        <w:rPr>
          <w:rFonts w:ascii="Cambria" w:eastAsia="Times New Roman" w:hAnsi="Cambria" w:cs="Arial"/>
          <w:bCs/>
          <w:u w:val="single"/>
        </w:rPr>
        <w:t>Carayannis</w:t>
      </w:r>
      <w:r w:rsidRPr="00B044E4">
        <w:rPr>
          <w:rFonts w:ascii="Cambria" w:eastAsia="Times New Roman" w:hAnsi="Cambria" w:cs="Arial"/>
          <w:shd w:val="clear" w:color="auto" w:fill="FFFFFF"/>
        </w:rPr>
        <w:t xml:space="preserve"> and Rakhmatullin</w:t>
      </w:r>
      <w:r w:rsidR="007A3047" w:rsidRPr="00B044E4">
        <w:rPr>
          <w:rFonts w:ascii="Cambria" w:eastAsia="Times New Roman" w:hAnsi="Cambria" w:cs="Arial"/>
          <w:shd w:val="clear" w:color="auto" w:fill="FFFFFF"/>
        </w:rPr>
        <w:t>,</w:t>
      </w:r>
      <w:r w:rsidRPr="00B044E4">
        <w:rPr>
          <w:rFonts w:ascii="Cambria" w:eastAsia="Times New Roman" w:hAnsi="Cambria" w:cs="Arial"/>
          <w:shd w:val="clear" w:color="auto" w:fill="FFFFFF"/>
        </w:rPr>
        <w:t> </w:t>
      </w:r>
      <w:r w:rsidRPr="00B044E4">
        <w:rPr>
          <w:rFonts w:ascii="Cambria" w:hAnsi="Cambria" w:cs="Arial"/>
        </w:rPr>
        <w:t xml:space="preserve">2014; 2017). </w:t>
      </w:r>
    </w:p>
    <w:p w:rsidR="003111B8" w:rsidRPr="00B044E4" w:rsidRDefault="003111B8" w:rsidP="00CA379D">
      <w:pPr>
        <w:widowControl w:val="0"/>
        <w:autoSpaceDE w:val="0"/>
        <w:autoSpaceDN w:val="0"/>
        <w:adjustRightInd w:val="0"/>
        <w:spacing w:after="0" w:line="240" w:lineRule="auto"/>
        <w:jc w:val="both"/>
        <w:rPr>
          <w:rFonts w:ascii="Cambria" w:hAnsi="Cambria" w:cs="Arial"/>
        </w:rPr>
      </w:pPr>
    </w:p>
    <w:p w:rsidR="003111B8" w:rsidRPr="00B044E4" w:rsidRDefault="003111B8" w:rsidP="00CA379D">
      <w:pPr>
        <w:spacing w:after="0" w:line="240" w:lineRule="auto"/>
        <w:jc w:val="both"/>
        <w:rPr>
          <w:rFonts w:ascii="Cambria" w:hAnsi="Cambria" w:cs="Arial"/>
        </w:rPr>
      </w:pPr>
      <w:r w:rsidRPr="00B044E4">
        <w:rPr>
          <w:rFonts w:ascii="Cambria" w:hAnsi="Cambria" w:cs="Arial"/>
        </w:rPr>
        <w:t>For the Quadruple Helix, this community-of-users exhort reflexive control over the science and tech</w:t>
      </w:r>
      <w:r w:rsidR="007A3047" w:rsidRPr="00B044E4">
        <w:rPr>
          <w:rFonts w:ascii="Cambria" w:hAnsi="Cambria" w:cs="Arial"/>
        </w:rPr>
        <w:t>nology knowledge they produce</w:t>
      </w:r>
      <w:r w:rsidRPr="00B044E4">
        <w:rPr>
          <w:rFonts w:ascii="Cambria" w:hAnsi="Cambria" w:cs="Arial"/>
        </w:rPr>
        <w:t>. In this model, user-communities are not only understood to be involved in the process of entrepreneurial discovery, but also able to shape new types of research and innovation strategies, which connect users with other communities whose knowledge exchange is distributed across universities, industry and government (</w:t>
      </w:r>
      <w:r w:rsidRPr="00B044E4">
        <w:rPr>
          <w:rFonts w:ascii="Cambria" w:eastAsia="Times New Roman" w:hAnsi="Cambria" w:cs="Arial"/>
          <w:bCs/>
          <w:u w:val="single"/>
        </w:rPr>
        <w:t>Carayannis</w:t>
      </w:r>
      <w:r w:rsidRPr="00B044E4">
        <w:rPr>
          <w:rFonts w:ascii="Cambria" w:eastAsia="Times New Roman" w:hAnsi="Cambria" w:cs="Arial"/>
        </w:rPr>
        <w:t xml:space="preserve"> and Campbell</w:t>
      </w:r>
      <w:r w:rsidR="007A3047" w:rsidRPr="00B044E4">
        <w:rPr>
          <w:rFonts w:ascii="Cambria" w:eastAsia="Times New Roman" w:hAnsi="Cambria" w:cs="Arial"/>
        </w:rPr>
        <w:t>,</w:t>
      </w:r>
      <w:r w:rsidRPr="00B044E4">
        <w:rPr>
          <w:rFonts w:ascii="Cambria" w:eastAsia="Times New Roman" w:hAnsi="Cambria" w:cs="Arial"/>
        </w:rPr>
        <w:t xml:space="preserve"> 2009; 2012; 2014; 2107; </w:t>
      </w:r>
      <w:r w:rsidRPr="00B044E4">
        <w:rPr>
          <w:rFonts w:ascii="Cambria" w:eastAsia="Times New Roman" w:hAnsi="Cambria" w:cs="Arial"/>
          <w:bCs/>
          <w:u w:val="single"/>
        </w:rPr>
        <w:t>Carayannis</w:t>
      </w:r>
      <w:r w:rsidRPr="00B044E4">
        <w:rPr>
          <w:rFonts w:ascii="Cambria" w:eastAsia="Times New Roman" w:hAnsi="Cambria" w:cs="Arial"/>
          <w:shd w:val="clear" w:color="auto" w:fill="FFFFFF"/>
        </w:rPr>
        <w:t xml:space="preserve"> and Rakhmatullin</w:t>
      </w:r>
      <w:r w:rsidR="007A3047" w:rsidRPr="00B044E4">
        <w:rPr>
          <w:rFonts w:ascii="Cambria" w:eastAsia="Times New Roman" w:hAnsi="Cambria" w:cs="Arial"/>
          <w:shd w:val="clear" w:color="auto" w:fill="FFFFFF"/>
        </w:rPr>
        <w:t>,</w:t>
      </w:r>
      <w:r w:rsidRPr="00B044E4">
        <w:rPr>
          <w:rFonts w:ascii="Cambria" w:eastAsia="Times New Roman" w:hAnsi="Cambria" w:cs="Arial"/>
          <w:shd w:val="clear" w:color="auto" w:fill="FFFFFF"/>
        </w:rPr>
        <w:t> </w:t>
      </w:r>
      <w:r w:rsidRPr="00B044E4">
        <w:rPr>
          <w:rFonts w:ascii="Cambria" w:hAnsi="Cambria" w:cs="Arial"/>
        </w:rPr>
        <w:t>2014; 2017)</w:t>
      </w:r>
      <w:r w:rsidRPr="00B044E4">
        <w:rPr>
          <w:rFonts w:ascii="Cambria" w:eastAsia="Times New Roman" w:hAnsi="Cambria" w:cs="Arial"/>
        </w:rPr>
        <w:t>.</w:t>
      </w:r>
      <w:r w:rsidRPr="00B044E4">
        <w:rPr>
          <w:rFonts w:ascii="Cambria" w:hAnsi="Cambria" w:cs="Arial"/>
        </w:rPr>
        <w:t xml:space="preserve"> This means the Quadruple Helix sees the role of these institutions not as the agents of any intellectual capital, or organized knowledge production, but instead as the media of a creative sector. As the media of a creative sector whose democratization of wealth creation by the public allows user-communities to participate in the governance of science and technology as members of civil society. </w:t>
      </w:r>
    </w:p>
    <w:p w:rsidR="003111B8" w:rsidRPr="00B044E4" w:rsidRDefault="003111B8" w:rsidP="00CA379D">
      <w:pPr>
        <w:spacing w:after="0" w:line="240" w:lineRule="auto"/>
        <w:jc w:val="both"/>
        <w:rPr>
          <w:rFonts w:ascii="Cambria" w:hAnsi="Cambria" w:cs="Arial"/>
        </w:rPr>
      </w:pPr>
    </w:p>
    <w:p w:rsidR="003111B8" w:rsidRPr="00761DF1" w:rsidRDefault="00714593" w:rsidP="0030720F">
      <w:pPr>
        <w:spacing w:after="120" w:line="240" w:lineRule="auto"/>
        <w:jc w:val="both"/>
        <w:rPr>
          <w:rFonts w:ascii="Cambria" w:hAnsi="Cambria" w:cs="Arial"/>
          <w:b/>
        </w:rPr>
      </w:pPr>
      <w:r w:rsidRPr="00761DF1">
        <w:rPr>
          <w:rFonts w:ascii="Cambria" w:hAnsi="Cambria" w:cs="Arial"/>
          <w:b/>
        </w:rPr>
        <w:t xml:space="preserve">Online S3 for RIS3 </w:t>
      </w:r>
      <w:r w:rsidR="00BB4B58" w:rsidRPr="00761DF1">
        <w:rPr>
          <w:rFonts w:ascii="Cambria" w:hAnsi="Cambria" w:cs="Arial"/>
          <w:b/>
        </w:rPr>
        <w:t>governance</w:t>
      </w:r>
      <w:r w:rsidRPr="00761DF1">
        <w:rPr>
          <w:rFonts w:ascii="Cambria" w:hAnsi="Cambria" w:cs="Arial"/>
          <w:b/>
        </w:rPr>
        <w:t xml:space="preserve"> </w:t>
      </w:r>
    </w:p>
    <w:p w:rsidR="003111B8" w:rsidRPr="00B044E4" w:rsidRDefault="003111B8" w:rsidP="00CA379D">
      <w:pPr>
        <w:spacing w:after="0" w:line="240" w:lineRule="auto"/>
        <w:jc w:val="both"/>
        <w:rPr>
          <w:rFonts w:ascii="Cambria" w:hAnsi="Cambria" w:cs="Arial"/>
        </w:rPr>
      </w:pPr>
      <w:r w:rsidRPr="00B044E4">
        <w:rPr>
          <w:rFonts w:ascii="Cambria" w:hAnsi="Cambria" w:cs="Arial"/>
        </w:rPr>
        <w:t xml:space="preserve">As a result, the Triple and Quadruple Helix models underpin the governance phase of RIS3 and assessment methods supporting this. The </w:t>
      </w:r>
      <w:r w:rsidR="007A3047" w:rsidRPr="00B044E4">
        <w:rPr>
          <w:rFonts w:ascii="Cambria" w:hAnsi="Cambria" w:cs="Arial"/>
        </w:rPr>
        <w:t xml:space="preserve">OnlineS3 </w:t>
      </w:r>
      <w:r w:rsidRPr="00B044E4">
        <w:rPr>
          <w:rFonts w:ascii="Cambria" w:hAnsi="Cambria" w:cs="Arial"/>
        </w:rPr>
        <w:t>methods</w:t>
      </w:r>
      <w:r w:rsidR="007A3047" w:rsidRPr="00B044E4">
        <w:rPr>
          <w:rFonts w:ascii="Cambria" w:hAnsi="Cambria" w:cs="Arial"/>
        </w:rPr>
        <w:t xml:space="preserve"> and applications</w:t>
      </w:r>
      <w:r w:rsidRPr="00B044E4">
        <w:rPr>
          <w:rFonts w:ascii="Cambria" w:hAnsi="Cambria" w:cs="Arial"/>
        </w:rPr>
        <w:t xml:space="preserve"> in question are listed below:</w:t>
      </w:r>
    </w:p>
    <w:p w:rsidR="003111B8" w:rsidRPr="00B044E4" w:rsidRDefault="003111B8" w:rsidP="00CA379D">
      <w:pPr>
        <w:pStyle w:val="ListParagraph"/>
        <w:numPr>
          <w:ilvl w:val="0"/>
          <w:numId w:val="17"/>
        </w:numPr>
        <w:contextualSpacing/>
        <w:jc w:val="both"/>
        <w:rPr>
          <w:rFonts w:ascii="Cambria" w:hAnsi="Cambria" w:cs="Arial"/>
          <w:lang w:val="en-GB"/>
        </w:rPr>
      </w:pPr>
      <w:r w:rsidRPr="00B044E4">
        <w:rPr>
          <w:rFonts w:ascii="Cambria" w:hAnsi="Cambria" w:cs="Arial"/>
          <w:lang w:val="en-GB"/>
        </w:rPr>
        <w:t>RIS vision sharing;</w:t>
      </w:r>
    </w:p>
    <w:p w:rsidR="003111B8" w:rsidRPr="00B044E4" w:rsidRDefault="003111B8" w:rsidP="00CA379D">
      <w:pPr>
        <w:pStyle w:val="ListParagraph"/>
        <w:numPr>
          <w:ilvl w:val="0"/>
          <w:numId w:val="17"/>
        </w:numPr>
        <w:contextualSpacing/>
        <w:jc w:val="both"/>
        <w:rPr>
          <w:rFonts w:ascii="Cambria" w:hAnsi="Cambria" w:cs="Arial"/>
          <w:lang w:val="en-GB"/>
        </w:rPr>
      </w:pPr>
      <w:r w:rsidRPr="00B044E4">
        <w:rPr>
          <w:rFonts w:ascii="Cambria" w:hAnsi="Cambria" w:cs="Arial"/>
          <w:lang w:val="en-GB"/>
        </w:rPr>
        <w:t>Stakeholder engagement;</w:t>
      </w:r>
    </w:p>
    <w:p w:rsidR="003111B8" w:rsidRPr="00B044E4" w:rsidRDefault="003111B8" w:rsidP="00CA379D">
      <w:pPr>
        <w:pStyle w:val="ListParagraph"/>
        <w:numPr>
          <w:ilvl w:val="0"/>
          <w:numId w:val="17"/>
        </w:numPr>
        <w:contextualSpacing/>
        <w:jc w:val="both"/>
        <w:rPr>
          <w:rFonts w:ascii="Cambria" w:hAnsi="Cambria" w:cs="Arial"/>
          <w:lang w:val="en-GB"/>
        </w:rPr>
      </w:pPr>
      <w:r w:rsidRPr="00B044E4">
        <w:rPr>
          <w:rFonts w:ascii="Cambria" w:hAnsi="Cambria" w:cs="Arial"/>
          <w:lang w:val="en-GB"/>
        </w:rPr>
        <w:t>RIS3 debate at a glance</w:t>
      </w:r>
    </w:p>
    <w:p w:rsidR="003111B8" w:rsidRPr="00B044E4" w:rsidRDefault="003111B8" w:rsidP="00CA379D">
      <w:pPr>
        <w:pStyle w:val="ListParagraph"/>
        <w:numPr>
          <w:ilvl w:val="0"/>
          <w:numId w:val="17"/>
        </w:numPr>
        <w:contextualSpacing/>
        <w:jc w:val="both"/>
        <w:rPr>
          <w:rFonts w:ascii="Cambria" w:hAnsi="Cambria" w:cs="Arial"/>
          <w:lang w:val="en-GB"/>
        </w:rPr>
      </w:pPr>
      <w:r w:rsidRPr="00B044E4">
        <w:rPr>
          <w:rFonts w:ascii="Cambria" w:hAnsi="Cambria" w:cs="Arial"/>
          <w:lang w:val="en-GB"/>
        </w:rPr>
        <w:t>RIS3 legal and administrative framework related to ESIF</w:t>
      </w:r>
    </w:p>
    <w:p w:rsidR="003111B8" w:rsidRPr="00B044E4" w:rsidRDefault="003111B8" w:rsidP="00CA379D">
      <w:pPr>
        <w:widowControl w:val="0"/>
        <w:autoSpaceDE w:val="0"/>
        <w:autoSpaceDN w:val="0"/>
        <w:adjustRightInd w:val="0"/>
        <w:spacing w:after="0" w:line="240" w:lineRule="auto"/>
        <w:jc w:val="both"/>
        <w:rPr>
          <w:rFonts w:ascii="Cambria" w:hAnsi="Cambria" w:cs="Arial"/>
        </w:rPr>
      </w:pPr>
    </w:p>
    <w:p w:rsidR="003111B8" w:rsidRPr="00B044E4" w:rsidRDefault="003111B8"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This synopsis of the models offers an initial insight into the limitations of the Triple Helix and failure of the RIS3 vision, stakeholder engagement and debate at a glance methods listed above, to adequately account for the democracy of the participatory governance they call for (Deakin</w:t>
      </w:r>
      <w:r w:rsidR="007A3047" w:rsidRPr="00B044E4">
        <w:rPr>
          <w:rFonts w:ascii="Cambria" w:hAnsi="Cambria" w:cs="Arial"/>
        </w:rPr>
        <w:t>,</w:t>
      </w:r>
      <w:r w:rsidRPr="00B044E4">
        <w:rPr>
          <w:rFonts w:ascii="Cambria" w:hAnsi="Cambria" w:cs="Arial"/>
        </w:rPr>
        <w:t xml:space="preserve"> 2014; 2015; 2017; 2018). It also serves to highlight the nature of the relationship between civil society, science and technology as that matter of governance which is of particular concern for the Quadruple Helix (</w:t>
      </w:r>
      <w:r w:rsidRPr="00B044E4">
        <w:rPr>
          <w:rFonts w:ascii="Cambria" w:eastAsia="Times New Roman" w:hAnsi="Cambria" w:cs="Arial"/>
          <w:bCs/>
        </w:rPr>
        <w:t>Carayannis</w:t>
      </w:r>
      <w:r w:rsidRPr="00B044E4">
        <w:rPr>
          <w:rFonts w:ascii="Cambria" w:eastAsia="Times New Roman" w:hAnsi="Cambria" w:cs="Arial"/>
        </w:rPr>
        <w:t xml:space="preserve"> and Campbell</w:t>
      </w:r>
      <w:r w:rsidR="007A3047" w:rsidRPr="00B044E4">
        <w:rPr>
          <w:rFonts w:ascii="Cambria" w:eastAsia="Times New Roman" w:hAnsi="Cambria" w:cs="Arial"/>
        </w:rPr>
        <w:t>,</w:t>
      </w:r>
      <w:r w:rsidRPr="00B044E4">
        <w:rPr>
          <w:rFonts w:ascii="Cambria" w:eastAsia="Times New Roman" w:hAnsi="Cambria" w:cs="Arial"/>
        </w:rPr>
        <w:t xml:space="preserve"> </w:t>
      </w:r>
      <w:r w:rsidRPr="00B044E4">
        <w:rPr>
          <w:rFonts w:ascii="Cambria" w:eastAsia="Times New Roman" w:hAnsi="Cambria" w:cs="Arial"/>
          <w:shd w:val="clear" w:color="auto" w:fill="FFFFFF"/>
        </w:rPr>
        <w:t>2012; 2014; 2017</w:t>
      </w:r>
      <w:r w:rsidRPr="00B044E4">
        <w:rPr>
          <w:rFonts w:ascii="Cambria" w:hAnsi="Cambria" w:cs="Arial"/>
        </w:rPr>
        <w:t>). This occurs because the Quadruple-Helix model does not see any reference to the entrepreneurial discovery of a research and innovation strategy as particularly useful and as a result, tends instead to present the Triple Helix as a model dominated by the proprietary system of an elite university-industry axis. In that sense, a proprietary system of exchange, which is based on an elite university-industry axis. That axis which is pre-dominantly corporate and whose research and innovation is organized as a knowledge production as the prioritizations of a Smart Specialisation whose reflexive control of democracy is based on a strategy whose legal and administrative framework offers anything but a participatory governance of science and technology.</w:t>
      </w:r>
    </w:p>
    <w:p w:rsidR="003111B8" w:rsidRPr="00B044E4" w:rsidRDefault="003111B8" w:rsidP="00CA379D">
      <w:pPr>
        <w:widowControl w:val="0"/>
        <w:autoSpaceDE w:val="0"/>
        <w:autoSpaceDN w:val="0"/>
        <w:adjustRightInd w:val="0"/>
        <w:spacing w:after="0" w:line="240" w:lineRule="auto"/>
        <w:jc w:val="both"/>
        <w:rPr>
          <w:rFonts w:ascii="Cambria" w:hAnsi="Cambria" w:cs="Arial"/>
        </w:rPr>
      </w:pPr>
    </w:p>
    <w:p w:rsidR="003111B8" w:rsidRPr="00B044E4" w:rsidRDefault="003111B8"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 xml:space="preserve">This goes someway to capture what distinguishes these two models of knowledge production. In particular, the fact they are not only models of entrepreneurial discovery, or research and </w:t>
      </w:r>
      <w:r w:rsidRPr="00B044E4">
        <w:rPr>
          <w:rFonts w:ascii="Cambria" w:hAnsi="Cambria" w:cs="Arial"/>
        </w:rPr>
        <w:lastRenderedPageBreak/>
        <w:t>innovation strategies, but also the source of (bottom-up and place-based) regional policies, which are constructed as the EDP of a RIS3 that is democratic. The distinction between them tending to lie in the distance separating each of the respective model’s interpretation of what is democratic.  In that sense, in the respective interpretation of whether-or-not this can rest on a proprietary system of research and innovation in a university-industry axis whose strategy of Smart Specialisation is founded on pre-dominantly corporate priorities, or instead upon one which is civic in the sense that any such strategy allows user-communities to participate in the governance of science and technology as members of a society which also exerts some measure of reflexive control over it.</w:t>
      </w:r>
    </w:p>
    <w:p w:rsidR="003111B8" w:rsidRPr="00B044E4" w:rsidRDefault="003111B8" w:rsidP="00CA379D">
      <w:pPr>
        <w:widowControl w:val="0"/>
        <w:autoSpaceDE w:val="0"/>
        <w:autoSpaceDN w:val="0"/>
        <w:adjustRightInd w:val="0"/>
        <w:spacing w:after="0" w:line="240" w:lineRule="auto"/>
        <w:jc w:val="both"/>
        <w:rPr>
          <w:rFonts w:ascii="Cambria" w:hAnsi="Cambria" w:cs="Arial"/>
        </w:rPr>
      </w:pPr>
    </w:p>
    <w:p w:rsidR="003111B8" w:rsidRPr="00761DF1" w:rsidRDefault="001B0883" w:rsidP="0030720F">
      <w:pPr>
        <w:spacing w:after="120" w:line="240" w:lineRule="auto"/>
        <w:jc w:val="both"/>
        <w:rPr>
          <w:rFonts w:ascii="Cambria" w:hAnsi="Cambria" w:cs="Arial"/>
          <w:b/>
        </w:rPr>
      </w:pPr>
      <w:r w:rsidRPr="00761DF1">
        <w:rPr>
          <w:rFonts w:ascii="Cambria" w:hAnsi="Cambria" w:cs="Arial"/>
          <w:b/>
        </w:rPr>
        <w:t>From triple to quadruple helix</w:t>
      </w:r>
    </w:p>
    <w:p w:rsidR="003111B8" w:rsidRPr="00B044E4" w:rsidRDefault="003111B8"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As the discussions in the previous section over the governance phase of RIS3 serve to demonstrate, the public trust gap that opens up as a democratic deficit, has significant implications for the Triple-Helix and Quadruple-Helix models in the sense which they offer some insights into the nature of this shortfall. In that sense serve to offer some insights into the nature of this shortfall, which is not only seen to be a transgression of public trust, but democratic deficit also regressive for society. Here, they are summarized in the interests of reaching beyond any formal critique of the models and advancing towards what might be best referred to as the dis-content with the transgression of public trust by the Triple Helix and regression of this into the democratic deficit of the Quadruple Helix. In this way, the dis-content, which circulates around this transgression, can be revealed as a regression that relates to:</w:t>
      </w:r>
    </w:p>
    <w:p w:rsidR="003111B8" w:rsidRPr="00B044E4" w:rsidRDefault="003111B8"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 xml:space="preserve"> </w:t>
      </w:r>
    </w:p>
    <w:p w:rsidR="003111B8" w:rsidRPr="00B044E4" w:rsidRDefault="003111B8" w:rsidP="00CA379D">
      <w:pPr>
        <w:pStyle w:val="ListParagraph"/>
        <w:numPr>
          <w:ilvl w:val="0"/>
          <w:numId w:val="13"/>
        </w:numPr>
        <w:ind w:left="357" w:hanging="357"/>
        <w:jc w:val="both"/>
        <w:rPr>
          <w:rFonts w:ascii="Cambria" w:hAnsi="Cambria" w:cs="Arial"/>
          <w:color w:val="800000"/>
          <w:lang w:val="en-GB"/>
        </w:rPr>
      </w:pPr>
      <w:r w:rsidRPr="00B044E4">
        <w:rPr>
          <w:rFonts w:ascii="Cambria" w:hAnsi="Cambria" w:cs="Arial"/>
          <w:lang w:val="en-GB"/>
        </w:rPr>
        <w:t>a lack of trust from the public in the entrepreneurial development process that underlies research and innovation within university and industry and which surfaces as a gap between the knowledge economy this wealth creates and priorities such a Smart Specialisation sets for a reflexive control of democracy by that public which are left dis-empowered from any participation in the governance of science and technology as members of civil society seeking to sustain regional economic growth.</w:t>
      </w:r>
      <w:r w:rsidRPr="00B044E4">
        <w:rPr>
          <w:rFonts w:ascii="Cambria" w:hAnsi="Cambria" w:cs="Arial"/>
          <w:color w:val="800000"/>
          <w:lang w:val="en-GB"/>
        </w:rPr>
        <w:t xml:space="preserve"> </w:t>
      </w:r>
      <w:r w:rsidRPr="00B044E4">
        <w:rPr>
          <w:rFonts w:ascii="Cambria" w:hAnsi="Cambria" w:cs="Arial"/>
          <w:lang w:val="en-GB"/>
        </w:rPr>
        <w:t>The reason given by the public for this democratic deficit being any participatory governance of science and technology does not tackle the major challenges which civil society confronts</w:t>
      </w:r>
      <w:r w:rsidRPr="00B044E4">
        <w:rPr>
          <w:rFonts w:ascii="Cambria" w:eastAsia="Times New Roman" w:hAnsi="Cambria" w:cs="Arial"/>
          <w:shd w:val="clear" w:color="auto" w:fill="FFFFFF"/>
          <w:lang w:val="en-GB"/>
        </w:rPr>
        <w:t xml:space="preserve">. </w:t>
      </w:r>
      <w:r w:rsidRPr="00B044E4">
        <w:rPr>
          <w:rFonts w:ascii="Cambria" w:hAnsi="Cambria" w:cs="Arial"/>
          <w:lang w:val="en-GB"/>
        </w:rPr>
        <w:t>In that sense does not tackle poverty, or combat depravation and because of this, is either unethical or ecologically destructive.  This also suggests the ethics of poverty, depravation and ecological destruction, are ignored, because research and innovation is increasingly developed by trans-national corporations, whose intellectual property rights organize knowledge production in such a way the wealth created offers little opportunity for either the nation-state, or region to exhort any reflexive control over this economy by the public as part of a democracy whose participatory governance sets the agendas for science and technology (the Triple Helix model).</w:t>
      </w:r>
    </w:p>
    <w:p w:rsidR="003111B8" w:rsidRPr="00B044E4" w:rsidRDefault="003111B8" w:rsidP="00CA379D">
      <w:pPr>
        <w:spacing w:after="0" w:line="240" w:lineRule="auto"/>
        <w:ind w:left="284"/>
        <w:jc w:val="both"/>
        <w:rPr>
          <w:rFonts w:ascii="Cambria" w:eastAsia="Times New Roman" w:hAnsi="Cambria" w:cs="Arial"/>
        </w:rPr>
      </w:pPr>
    </w:p>
    <w:p w:rsidR="003111B8" w:rsidRPr="00B044E4" w:rsidRDefault="003111B8" w:rsidP="00CA379D">
      <w:pPr>
        <w:pStyle w:val="ListParagraph"/>
        <w:numPr>
          <w:ilvl w:val="0"/>
          <w:numId w:val="13"/>
        </w:numPr>
        <w:ind w:left="357" w:hanging="357"/>
        <w:jc w:val="both"/>
        <w:rPr>
          <w:rFonts w:ascii="Cambria" w:eastAsia="Times New Roman" w:hAnsi="Cambria" w:cs="Arial"/>
          <w:lang w:val="en-GB"/>
        </w:rPr>
      </w:pPr>
      <w:r w:rsidRPr="00B044E4">
        <w:rPr>
          <w:rFonts w:ascii="Cambria" w:hAnsi="Cambria" w:cs="Arial"/>
          <w:lang w:val="en-GB"/>
        </w:rPr>
        <w:t>the democratic deficit within civil society which proposes it is the lack of opportunity which the public have to participate in the governance of science and technology as user-communities that is significant</w:t>
      </w:r>
      <w:r w:rsidRPr="00B044E4">
        <w:rPr>
          <w:rFonts w:ascii="Cambria" w:eastAsia="Times New Roman" w:hAnsi="Cambria" w:cs="Arial"/>
          <w:color w:val="006621"/>
          <w:shd w:val="clear" w:color="auto" w:fill="FFFFFF"/>
          <w:lang w:val="en-GB"/>
        </w:rPr>
        <w:t xml:space="preserve">. </w:t>
      </w:r>
      <w:r w:rsidRPr="00B044E4">
        <w:rPr>
          <w:rFonts w:ascii="Cambria" w:hAnsi="Cambria" w:cs="Arial"/>
          <w:lang w:val="en-GB"/>
        </w:rPr>
        <w:t>Because it results in that public which constitute civil society being excluded access to: 1) consultations on how to tackle poverty, combat deprivation and overcome environmental destruction; 2) deliberations over the way wealth, prosperity and ecological reconstruction of the knowledge economy, can meet these challenges by way of the reflexive control it exhorts over such a democratization and through the participation of user-communities in a governance of science and technology able to sustain economic growth on behalf of civil society (Quadruple Helix model).</w:t>
      </w:r>
    </w:p>
    <w:p w:rsidR="003111B8" w:rsidRPr="00B044E4" w:rsidRDefault="003111B8" w:rsidP="00CA379D">
      <w:pPr>
        <w:spacing w:after="0" w:line="240" w:lineRule="auto"/>
        <w:ind w:left="644"/>
        <w:jc w:val="both"/>
        <w:rPr>
          <w:rFonts w:ascii="Cambria" w:eastAsia="Times New Roman" w:hAnsi="Cambria" w:cs="Arial"/>
        </w:rPr>
      </w:pPr>
    </w:p>
    <w:p w:rsidR="003111B8" w:rsidRPr="00B044E4" w:rsidRDefault="003111B8" w:rsidP="00CA379D">
      <w:pPr>
        <w:pStyle w:val="ListParagraph"/>
        <w:numPr>
          <w:ilvl w:val="0"/>
          <w:numId w:val="18"/>
        </w:numPr>
        <w:ind w:left="0" w:firstLine="0"/>
        <w:contextualSpacing/>
        <w:jc w:val="both"/>
        <w:rPr>
          <w:rFonts w:ascii="Cambria" w:hAnsi="Cambria" w:cs="Arial"/>
          <w:lang w:val="en-GB"/>
        </w:rPr>
      </w:pPr>
      <w:r w:rsidRPr="00B044E4">
        <w:rPr>
          <w:rFonts w:ascii="Cambria" w:hAnsi="Cambria" w:cs="Arial"/>
          <w:lang w:val="en-GB"/>
        </w:rPr>
        <w:t xml:space="preserve">This transgression results because that trust which those seek to gain, by way of a democratization of the public and through user-communities that participate in a governance which civil society, assume to be an abundant property of the EDP and readily available in methods such as: RIS vision sharing, stakeholder engagement and debate at a glance, is that very intellectual capital which organized knowledge production in fact lacks and falls short of. That </w:t>
      </w:r>
      <w:r w:rsidRPr="00B044E4">
        <w:rPr>
          <w:rFonts w:ascii="Cambria" w:hAnsi="Cambria" w:cs="Arial"/>
          <w:lang w:val="en-GB"/>
        </w:rPr>
        <w:lastRenderedPageBreak/>
        <w:t xml:space="preserve">intellectual capital of organized knowledge production, which is assumed to be an abundant property of wealth creation, readily available and openly sourced, but that in reality turns out to be the very science and technology which civil society lacks and falls short of. That it lacks and falls short of in the sense which civil society is denied universal access to an entrepreneurial discovery process whose research and innovation, is able to prioritize Smart Specialisation as the reflexive control of a democracy whose participatory governance is credible enough to include those members of the public, who are otherwise left dis-empowered as user-communities. </w:t>
      </w:r>
    </w:p>
    <w:p w:rsidR="003111B8" w:rsidRPr="00B044E4" w:rsidRDefault="003111B8" w:rsidP="00CA379D">
      <w:pPr>
        <w:widowControl w:val="0"/>
        <w:autoSpaceDE w:val="0"/>
        <w:autoSpaceDN w:val="0"/>
        <w:adjustRightInd w:val="0"/>
        <w:spacing w:after="0" w:line="240" w:lineRule="auto"/>
        <w:jc w:val="both"/>
        <w:rPr>
          <w:rFonts w:ascii="Cambria" w:hAnsi="Cambria" w:cs="Arial"/>
        </w:rPr>
      </w:pPr>
    </w:p>
    <w:p w:rsidR="003111B8" w:rsidRPr="00B044E4" w:rsidRDefault="003111B8" w:rsidP="00D4385F">
      <w:pPr>
        <w:widowControl w:val="0"/>
        <w:autoSpaceDE w:val="0"/>
        <w:autoSpaceDN w:val="0"/>
        <w:adjustRightInd w:val="0"/>
        <w:spacing w:after="0" w:line="240" w:lineRule="auto"/>
        <w:jc w:val="both"/>
        <w:rPr>
          <w:rFonts w:ascii="Cambria" w:hAnsi="Cambria" w:cs="Arial"/>
        </w:rPr>
      </w:pPr>
      <w:r w:rsidRPr="00B044E4">
        <w:rPr>
          <w:rFonts w:ascii="Cambria" w:hAnsi="Cambria" w:cs="Arial"/>
        </w:rPr>
        <w:t>In particular, those members of the public, who are otherwise left dis-empowered as user-communities and in that sense excluded from the science and technology, which the knowledge economy should mobilize to confront the major challenges civil society faces in tackling poverty, combatting depravation and promoting an ecological reconstruction as part of a research and innovation strategy. In that sense, mobilize the major challenges which civil society confronts as</w:t>
      </w:r>
      <w:r w:rsidRPr="00B044E4">
        <w:rPr>
          <w:rFonts w:ascii="Cambria" w:hAnsi="Cambria" w:cs="Arial"/>
          <w:color w:val="800000"/>
        </w:rPr>
        <w:t xml:space="preserve"> </w:t>
      </w:r>
      <w:r w:rsidRPr="00B044E4">
        <w:rPr>
          <w:rFonts w:ascii="Cambria" w:hAnsi="Cambria" w:cs="Arial"/>
        </w:rPr>
        <w:t xml:space="preserve">part of that research and innovation strategy, which the knowledge economy is able to re-prioritize as a Smart Specialisation Strategy, by virtue of the public that it empowers to participate in the governance of science and technology as user-communities, having sufficient reflexive control to sustain the development of trust in a democratization of regional growth able to clear any such deficit. </w:t>
      </w:r>
    </w:p>
    <w:p w:rsidR="003111B8" w:rsidRPr="00B044E4" w:rsidRDefault="003111B8" w:rsidP="00CA379D">
      <w:pPr>
        <w:widowControl w:val="0"/>
        <w:autoSpaceDE w:val="0"/>
        <w:autoSpaceDN w:val="0"/>
        <w:adjustRightInd w:val="0"/>
        <w:spacing w:after="0" w:line="240" w:lineRule="auto"/>
        <w:jc w:val="both"/>
        <w:rPr>
          <w:rFonts w:ascii="Cambria" w:hAnsi="Cambria" w:cs="Arial"/>
        </w:rPr>
      </w:pPr>
    </w:p>
    <w:p w:rsidR="00506EAA" w:rsidRPr="00B044E4" w:rsidRDefault="00506EAA" w:rsidP="00CA379D">
      <w:pPr>
        <w:widowControl w:val="0"/>
        <w:autoSpaceDE w:val="0"/>
        <w:autoSpaceDN w:val="0"/>
        <w:adjustRightInd w:val="0"/>
        <w:spacing w:after="0" w:line="240" w:lineRule="auto"/>
        <w:rPr>
          <w:rFonts w:ascii="Cambria" w:hAnsi="Cambria" w:cs="Arial"/>
        </w:rPr>
      </w:pPr>
    </w:p>
    <w:p w:rsidR="00A24C38" w:rsidRPr="00B044E4" w:rsidRDefault="00EB7AFC" w:rsidP="00CA379D">
      <w:pPr>
        <w:spacing w:after="0" w:line="240" w:lineRule="auto"/>
        <w:rPr>
          <w:rFonts w:ascii="Cambria" w:hAnsi="Cambria" w:cs="Times New Roman"/>
          <w:color w:val="0070C0"/>
          <w:sz w:val="32"/>
          <w:szCs w:val="24"/>
        </w:rPr>
      </w:pPr>
      <w:r w:rsidRPr="00B044E4">
        <w:rPr>
          <w:rFonts w:ascii="Cambria" w:hAnsi="Cambria" w:cs="Times New Roman"/>
          <w:color w:val="0070C0"/>
          <w:sz w:val="32"/>
          <w:szCs w:val="24"/>
        </w:rPr>
        <w:t>7. Conclusions: Towards the next stage of RIS3</w:t>
      </w:r>
    </w:p>
    <w:p w:rsidR="003C173F" w:rsidRPr="00B044E4" w:rsidRDefault="003C173F" w:rsidP="00CA379D">
      <w:pPr>
        <w:spacing w:after="0" w:line="240" w:lineRule="auto"/>
        <w:rPr>
          <w:rFonts w:ascii="Cambria" w:hAnsi="Cambria" w:cs="Arial"/>
          <w:szCs w:val="24"/>
        </w:rPr>
      </w:pPr>
    </w:p>
    <w:p w:rsidR="000B5E8F" w:rsidRPr="00B044E4" w:rsidRDefault="00561A15" w:rsidP="00D4385F">
      <w:pPr>
        <w:spacing w:after="0" w:line="240" w:lineRule="auto"/>
        <w:jc w:val="both"/>
        <w:rPr>
          <w:rFonts w:ascii="Cambria" w:hAnsi="Cambria" w:cs="Arial"/>
          <w:szCs w:val="24"/>
        </w:rPr>
      </w:pPr>
      <w:r w:rsidRPr="00B044E4">
        <w:rPr>
          <w:rFonts w:ascii="Cambria" w:hAnsi="Cambria" w:cs="Arial"/>
          <w:szCs w:val="24"/>
        </w:rPr>
        <w:t>The decade of 2010</w:t>
      </w:r>
      <w:r w:rsidR="002308BC">
        <w:rPr>
          <w:rFonts w:ascii="Cambria" w:hAnsi="Cambria" w:cs="Arial"/>
          <w:szCs w:val="24"/>
        </w:rPr>
        <w:t>s</w:t>
      </w:r>
      <w:r w:rsidRPr="00B044E4">
        <w:rPr>
          <w:rFonts w:ascii="Cambria" w:hAnsi="Cambria" w:cs="Arial"/>
          <w:szCs w:val="24"/>
        </w:rPr>
        <w:t xml:space="preserve"> has been a period of introduction and experimentation on smart specialisation strategies and </w:t>
      </w:r>
      <w:r w:rsidR="003811A3">
        <w:rPr>
          <w:rFonts w:ascii="Cambria" w:hAnsi="Cambria" w:cs="Arial"/>
          <w:szCs w:val="24"/>
        </w:rPr>
        <w:t xml:space="preserve">initial testing of </w:t>
      </w:r>
      <w:r w:rsidRPr="00B044E4">
        <w:rPr>
          <w:rFonts w:ascii="Cambria" w:hAnsi="Cambria" w:cs="Arial"/>
          <w:szCs w:val="24"/>
        </w:rPr>
        <w:t xml:space="preserve">their underlying </w:t>
      </w:r>
      <w:r w:rsidR="005153AD" w:rsidRPr="00B044E4">
        <w:rPr>
          <w:rFonts w:ascii="Cambria" w:hAnsi="Cambria" w:cs="Arial"/>
          <w:szCs w:val="24"/>
        </w:rPr>
        <w:t>growth assumptions</w:t>
      </w:r>
      <w:r w:rsidRPr="00B044E4">
        <w:rPr>
          <w:rFonts w:ascii="Cambria" w:hAnsi="Cambria" w:cs="Arial"/>
          <w:szCs w:val="24"/>
        </w:rPr>
        <w:t xml:space="preserve">. </w:t>
      </w:r>
      <w:r w:rsidR="005153AD" w:rsidRPr="00B044E4">
        <w:rPr>
          <w:rFonts w:ascii="Cambria" w:hAnsi="Cambria" w:cs="Arial"/>
          <w:szCs w:val="24"/>
        </w:rPr>
        <w:t xml:space="preserve">There is </w:t>
      </w:r>
      <w:r w:rsidR="000B5E8F" w:rsidRPr="00B044E4">
        <w:rPr>
          <w:rFonts w:ascii="Cambria" w:hAnsi="Cambria" w:cs="Arial"/>
          <w:szCs w:val="24"/>
        </w:rPr>
        <w:t xml:space="preserve">plenty information on </w:t>
      </w:r>
      <w:r w:rsidR="00E72F8E" w:rsidRPr="00B044E4">
        <w:rPr>
          <w:rFonts w:ascii="Cambria" w:hAnsi="Cambria" w:cs="Arial"/>
          <w:szCs w:val="24"/>
        </w:rPr>
        <w:t xml:space="preserve">the content and challenges of RIS3 </w:t>
      </w:r>
      <w:r w:rsidR="000B5E8F" w:rsidRPr="00B044E4">
        <w:rPr>
          <w:rFonts w:ascii="Cambria" w:hAnsi="Cambria" w:cs="Arial"/>
          <w:szCs w:val="24"/>
        </w:rPr>
        <w:t>at regional or national le</w:t>
      </w:r>
      <w:r w:rsidR="003811A3">
        <w:rPr>
          <w:rFonts w:ascii="Cambria" w:hAnsi="Cambria" w:cs="Arial"/>
          <w:szCs w:val="24"/>
        </w:rPr>
        <w:t>vels -thanks to JRC peer review</w:t>
      </w:r>
      <w:r w:rsidR="000B5E8F" w:rsidRPr="00B044E4">
        <w:rPr>
          <w:rFonts w:ascii="Cambria" w:hAnsi="Cambria" w:cs="Arial"/>
          <w:szCs w:val="24"/>
        </w:rPr>
        <w:t xml:space="preserve"> of strategies-</w:t>
      </w:r>
      <w:r w:rsidR="00DD0E92" w:rsidRPr="00B044E4">
        <w:rPr>
          <w:rFonts w:ascii="Cambria" w:hAnsi="Cambria" w:cs="Arial"/>
          <w:szCs w:val="24"/>
        </w:rPr>
        <w:t xml:space="preserve"> </w:t>
      </w:r>
      <w:r w:rsidR="000B5E8F" w:rsidRPr="00B044E4">
        <w:rPr>
          <w:rFonts w:ascii="Cambria" w:hAnsi="Cambria" w:cs="Arial"/>
          <w:szCs w:val="24"/>
        </w:rPr>
        <w:t xml:space="preserve">and </w:t>
      </w:r>
      <w:r w:rsidR="009D3E79">
        <w:rPr>
          <w:rFonts w:ascii="Cambria" w:hAnsi="Cambria" w:cs="Arial"/>
          <w:szCs w:val="24"/>
        </w:rPr>
        <w:t>on d</w:t>
      </w:r>
      <w:r w:rsidR="007509F6" w:rsidRPr="00B044E4">
        <w:rPr>
          <w:rFonts w:ascii="Cambria" w:hAnsi="Cambria" w:cs="Arial"/>
          <w:szCs w:val="24"/>
        </w:rPr>
        <w:t>ifficult</w:t>
      </w:r>
      <w:r w:rsidR="009D3E79">
        <w:rPr>
          <w:rFonts w:ascii="Cambria" w:hAnsi="Cambria" w:cs="Arial"/>
          <w:szCs w:val="24"/>
        </w:rPr>
        <w:t>ies</w:t>
      </w:r>
      <w:r w:rsidR="000B5E8F" w:rsidRPr="00B044E4">
        <w:rPr>
          <w:rFonts w:ascii="Cambria" w:hAnsi="Cambria" w:cs="Arial"/>
          <w:szCs w:val="24"/>
        </w:rPr>
        <w:t xml:space="preserve"> in applying rigorous methodologies for RIS3 design, implementation and assessment. </w:t>
      </w:r>
      <w:r w:rsidR="00172919" w:rsidRPr="00B044E4">
        <w:rPr>
          <w:rFonts w:ascii="Cambria" w:hAnsi="Cambria" w:cs="Arial"/>
          <w:szCs w:val="24"/>
        </w:rPr>
        <w:t xml:space="preserve">RIS3 linking regional, national, and EU policy frameworks, regulations and strategy objectives require a variety of evidence to define problems, priorities and objectives, and use suitable </w:t>
      </w:r>
      <w:r w:rsidR="009D3E79">
        <w:rPr>
          <w:rFonts w:ascii="Cambria" w:hAnsi="Cambria" w:cs="Arial"/>
          <w:szCs w:val="24"/>
        </w:rPr>
        <w:t xml:space="preserve">policy </w:t>
      </w:r>
      <w:r w:rsidR="00172919" w:rsidRPr="00B044E4">
        <w:rPr>
          <w:rFonts w:ascii="Cambria" w:hAnsi="Cambria" w:cs="Arial"/>
          <w:szCs w:val="24"/>
        </w:rPr>
        <w:t xml:space="preserve">instruments to achieve them. </w:t>
      </w:r>
      <w:r w:rsidR="007509F6" w:rsidRPr="00B044E4">
        <w:rPr>
          <w:rFonts w:ascii="Cambria" w:hAnsi="Cambria" w:cs="Arial"/>
          <w:szCs w:val="24"/>
        </w:rPr>
        <w:t>But, h</w:t>
      </w:r>
      <w:r w:rsidR="00172919" w:rsidRPr="00B044E4">
        <w:rPr>
          <w:rFonts w:ascii="Cambria" w:hAnsi="Cambria" w:cs="Arial"/>
          <w:szCs w:val="24"/>
        </w:rPr>
        <w:t xml:space="preserve">ow </w:t>
      </w:r>
      <w:r w:rsidR="009D3E79">
        <w:rPr>
          <w:rFonts w:ascii="Cambria" w:hAnsi="Cambria" w:cs="Arial"/>
          <w:szCs w:val="24"/>
        </w:rPr>
        <w:t xml:space="preserve">this </w:t>
      </w:r>
      <w:r w:rsidR="00172919" w:rsidRPr="00B044E4">
        <w:rPr>
          <w:rFonts w:ascii="Cambria" w:hAnsi="Cambria" w:cs="Arial"/>
          <w:szCs w:val="24"/>
        </w:rPr>
        <w:t xml:space="preserve">variety of evidence </w:t>
      </w:r>
      <w:r w:rsidR="007509F6" w:rsidRPr="00B044E4">
        <w:rPr>
          <w:rFonts w:ascii="Cambria" w:hAnsi="Cambria" w:cs="Arial"/>
          <w:szCs w:val="24"/>
        </w:rPr>
        <w:t xml:space="preserve">become feasible </w:t>
      </w:r>
      <w:r w:rsidR="00172919" w:rsidRPr="00B044E4">
        <w:rPr>
          <w:rFonts w:ascii="Cambria" w:hAnsi="Cambria" w:cs="Arial"/>
          <w:szCs w:val="24"/>
        </w:rPr>
        <w:t>in practice remains largely elusive (</w:t>
      </w:r>
      <w:r w:rsidR="00FE7D60" w:rsidRPr="00B044E4">
        <w:rPr>
          <w:rFonts w:ascii="Cambria" w:hAnsi="Cambria" w:cs="Arial"/>
          <w:szCs w:val="24"/>
        </w:rPr>
        <w:t>Kleibrink and Edurne, 2018).</w:t>
      </w:r>
      <w:r w:rsidR="00C64A85" w:rsidRPr="00B044E4">
        <w:rPr>
          <w:rFonts w:ascii="Cambria" w:hAnsi="Cambria" w:cs="Arial"/>
          <w:szCs w:val="24"/>
        </w:rPr>
        <w:t xml:space="preserve"> </w:t>
      </w:r>
      <w:r w:rsidR="00E72F8E" w:rsidRPr="00B044E4">
        <w:rPr>
          <w:rFonts w:ascii="Cambria" w:hAnsi="Cambria" w:cs="Arial"/>
          <w:szCs w:val="24"/>
        </w:rPr>
        <w:t xml:space="preserve">The same decade has been also a period </w:t>
      </w:r>
      <w:r w:rsidR="003811A3">
        <w:rPr>
          <w:rFonts w:ascii="Cambria" w:hAnsi="Cambria" w:cs="Arial"/>
          <w:szCs w:val="24"/>
        </w:rPr>
        <w:t xml:space="preserve">towards </w:t>
      </w:r>
      <w:r w:rsidR="007509F6" w:rsidRPr="00B044E4">
        <w:rPr>
          <w:rFonts w:ascii="Cambria" w:hAnsi="Cambria" w:cs="Arial"/>
          <w:szCs w:val="24"/>
        </w:rPr>
        <w:t xml:space="preserve">more mature </w:t>
      </w:r>
      <w:r w:rsidR="00E72F8E" w:rsidRPr="00B044E4">
        <w:rPr>
          <w:rFonts w:ascii="Cambria" w:hAnsi="Cambria" w:cs="Arial"/>
          <w:szCs w:val="24"/>
        </w:rPr>
        <w:t xml:space="preserve">Internet technologies, wider use of online services, web assistants, and large datasets </w:t>
      </w:r>
      <w:r w:rsidR="007509F6" w:rsidRPr="00B044E4">
        <w:rPr>
          <w:rFonts w:ascii="Cambria" w:hAnsi="Cambria" w:cs="Arial"/>
          <w:szCs w:val="24"/>
        </w:rPr>
        <w:t xml:space="preserve">that </w:t>
      </w:r>
      <w:r w:rsidR="00E72F8E" w:rsidRPr="00B044E4">
        <w:rPr>
          <w:rFonts w:ascii="Cambria" w:hAnsi="Cambria" w:cs="Arial"/>
          <w:szCs w:val="24"/>
        </w:rPr>
        <w:t xml:space="preserve">became available by </w:t>
      </w:r>
      <w:r w:rsidR="009D3E79">
        <w:rPr>
          <w:rFonts w:ascii="Cambria" w:hAnsi="Cambria" w:cs="Arial"/>
          <w:szCs w:val="24"/>
        </w:rPr>
        <w:t>online access to databases and user-generated content in social media.</w:t>
      </w:r>
      <w:r w:rsidR="000C2F07">
        <w:rPr>
          <w:rFonts w:ascii="Cambria" w:hAnsi="Cambria" w:cs="Arial"/>
          <w:szCs w:val="24"/>
        </w:rPr>
        <w:t xml:space="preserve"> </w:t>
      </w:r>
    </w:p>
    <w:p w:rsidR="00E72F8E" w:rsidRPr="00B044E4" w:rsidRDefault="00E72F8E" w:rsidP="00CA379D">
      <w:pPr>
        <w:spacing w:after="0" w:line="240" w:lineRule="auto"/>
        <w:rPr>
          <w:rFonts w:ascii="Cambria" w:hAnsi="Cambria" w:cs="Arial"/>
          <w:szCs w:val="24"/>
        </w:rPr>
      </w:pPr>
    </w:p>
    <w:p w:rsidR="006B7538" w:rsidRDefault="008E06CA" w:rsidP="00D4385F">
      <w:pPr>
        <w:spacing w:after="0" w:line="240" w:lineRule="auto"/>
        <w:jc w:val="both"/>
        <w:rPr>
          <w:rFonts w:ascii="Cambria" w:hAnsi="Cambria" w:cs="Arial"/>
          <w:szCs w:val="24"/>
        </w:rPr>
      </w:pPr>
      <w:r w:rsidRPr="00B044E4">
        <w:rPr>
          <w:rFonts w:ascii="Cambria" w:hAnsi="Cambria" w:cs="Arial"/>
          <w:szCs w:val="24"/>
        </w:rPr>
        <w:t>Online S3</w:t>
      </w:r>
      <w:r w:rsidR="00C64A85" w:rsidRPr="00B044E4">
        <w:rPr>
          <w:rFonts w:ascii="Cambria" w:hAnsi="Cambria" w:cs="Arial"/>
          <w:szCs w:val="24"/>
        </w:rPr>
        <w:t xml:space="preserve"> </w:t>
      </w:r>
      <w:r w:rsidR="00B044E4" w:rsidRPr="00B044E4">
        <w:rPr>
          <w:rFonts w:ascii="Cambria" w:hAnsi="Cambria" w:cs="Arial"/>
          <w:szCs w:val="24"/>
        </w:rPr>
        <w:t xml:space="preserve">is positioned at the interface of these trends, </w:t>
      </w:r>
      <w:r w:rsidR="00B044E4">
        <w:rPr>
          <w:rFonts w:ascii="Cambria" w:hAnsi="Cambria" w:cs="Arial"/>
          <w:szCs w:val="24"/>
        </w:rPr>
        <w:t>offer</w:t>
      </w:r>
      <w:r w:rsidR="001840F4">
        <w:rPr>
          <w:rFonts w:ascii="Cambria" w:hAnsi="Cambria" w:cs="Arial"/>
          <w:szCs w:val="24"/>
        </w:rPr>
        <w:t xml:space="preserve">s web </w:t>
      </w:r>
      <w:r w:rsidR="00B044E4" w:rsidRPr="00B044E4">
        <w:rPr>
          <w:rFonts w:ascii="Cambria" w:hAnsi="Cambria" w:cs="Arial"/>
          <w:szCs w:val="24"/>
        </w:rPr>
        <w:t xml:space="preserve">services and tools to </w:t>
      </w:r>
      <w:r w:rsidR="001840F4">
        <w:rPr>
          <w:rFonts w:ascii="Cambria" w:hAnsi="Cambria" w:cs="Arial"/>
          <w:szCs w:val="24"/>
        </w:rPr>
        <w:t xml:space="preserve">implement </w:t>
      </w:r>
      <w:r w:rsidR="00B044E4">
        <w:rPr>
          <w:rFonts w:ascii="Cambria" w:hAnsi="Cambria" w:cs="Arial"/>
          <w:szCs w:val="24"/>
        </w:rPr>
        <w:t xml:space="preserve">RIS3 methodologies across regions and facilitate </w:t>
      </w:r>
      <w:r w:rsidR="00BE6C87">
        <w:rPr>
          <w:rFonts w:ascii="Cambria" w:hAnsi="Cambria" w:cs="Arial"/>
          <w:szCs w:val="24"/>
        </w:rPr>
        <w:t xml:space="preserve">the design process with </w:t>
      </w:r>
      <w:r w:rsidR="00B044E4">
        <w:rPr>
          <w:rFonts w:ascii="Cambria" w:hAnsi="Cambria" w:cs="Arial"/>
          <w:szCs w:val="24"/>
        </w:rPr>
        <w:t xml:space="preserve">the use of datasets and software assistants. </w:t>
      </w:r>
      <w:r w:rsidR="00D325F2">
        <w:rPr>
          <w:rFonts w:ascii="Cambria" w:hAnsi="Cambria" w:cs="Arial"/>
          <w:szCs w:val="24"/>
        </w:rPr>
        <w:t>Having developed online a</w:t>
      </w:r>
      <w:r w:rsidR="00DD5DFC">
        <w:rPr>
          <w:rFonts w:ascii="Cambria" w:hAnsi="Cambria" w:cs="Arial"/>
          <w:szCs w:val="24"/>
        </w:rPr>
        <w:t>ssistants for 29 methodologies</w:t>
      </w:r>
      <w:r w:rsidR="009D3E79">
        <w:rPr>
          <w:rFonts w:ascii="Cambria" w:hAnsi="Cambria" w:cs="Arial"/>
          <w:szCs w:val="24"/>
        </w:rPr>
        <w:t>,</w:t>
      </w:r>
      <w:r w:rsidR="00DD5DFC">
        <w:rPr>
          <w:rFonts w:ascii="Cambria" w:hAnsi="Cambria" w:cs="Arial"/>
          <w:szCs w:val="24"/>
        </w:rPr>
        <w:t xml:space="preserve"> documented </w:t>
      </w:r>
      <w:r w:rsidR="000214F9">
        <w:rPr>
          <w:rFonts w:ascii="Cambria" w:hAnsi="Cambria" w:cs="Arial"/>
          <w:szCs w:val="24"/>
        </w:rPr>
        <w:t>as the most used or</w:t>
      </w:r>
      <w:r w:rsidR="00D325F2">
        <w:rPr>
          <w:rFonts w:ascii="Cambria" w:hAnsi="Cambria" w:cs="Arial"/>
          <w:szCs w:val="24"/>
        </w:rPr>
        <w:t xml:space="preserve"> useful in 30 </w:t>
      </w:r>
      <w:r w:rsidR="000214F9">
        <w:rPr>
          <w:rFonts w:ascii="Cambria" w:hAnsi="Cambria" w:cs="Arial"/>
          <w:szCs w:val="24"/>
        </w:rPr>
        <w:t>EU regions,</w:t>
      </w:r>
      <w:r w:rsidR="00DD5DFC">
        <w:rPr>
          <w:rFonts w:ascii="Cambria" w:hAnsi="Cambria" w:cs="Arial"/>
          <w:szCs w:val="24"/>
        </w:rPr>
        <w:t xml:space="preserve"> </w:t>
      </w:r>
      <w:r w:rsidR="003811A3">
        <w:rPr>
          <w:rFonts w:ascii="Cambria" w:hAnsi="Cambria" w:cs="Arial"/>
          <w:szCs w:val="24"/>
        </w:rPr>
        <w:t xml:space="preserve">these web solutions were </w:t>
      </w:r>
      <w:r w:rsidR="00DD5DFC">
        <w:rPr>
          <w:rFonts w:ascii="Cambria" w:hAnsi="Cambria" w:cs="Arial"/>
          <w:szCs w:val="24"/>
        </w:rPr>
        <w:t>tested in four regions (Scotland, Central Macedonia, Galicia, and</w:t>
      </w:r>
      <w:r w:rsidR="003811A3">
        <w:rPr>
          <w:rFonts w:ascii="Cambria" w:hAnsi="Cambria" w:cs="Arial"/>
          <w:szCs w:val="24"/>
        </w:rPr>
        <w:t xml:space="preserve"> Northern Netherlands). In the</w:t>
      </w:r>
      <w:r w:rsidR="00DD5DFC">
        <w:rPr>
          <w:rFonts w:ascii="Cambria" w:hAnsi="Cambria" w:cs="Arial"/>
          <w:szCs w:val="24"/>
        </w:rPr>
        <w:t xml:space="preserve"> pilots</w:t>
      </w:r>
      <w:r w:rsidR="009D3E79">
        <w:rPr>
          <w:rFonts w:ascii="Cambria" w:hAnsi="Cambria" w:cs="Arial"/>
          <w:szCs w:val="24"/>
        </w:rPr>
        <w:t>,</w:t>
      </w:r>
      <w:r w:rsidR="00DD5DFC">
        <w:rPr>
          <w:rFonts w:ascii="Cambria" w:hAnsi="Cambria" w:cs="Arial"/>
          <w:szCs w:val="24"/>
        </w:rPr>
        <w:t xml:space="preserve"> 142 stakeholders were engaged, 12,000 users</w:t>
      </w:r>
      <w:r w:rsidR="000214F9">
        <w:rPr>
          <w:rFonts w:ascii="Cambria" w:hAnsi="Cambria" w:cs="Arial"/>
          <w:szCs w:val="24"/>
        </w:rPr>
        <w:t>,</w:t>
      </w:r>
      <w:r w:rsidR="00DD5DFC">
        <w:rPr>
          <w:rFonts w:ascii="Cambria" w:hAnsi="Cambria" w:cs="Arial"/>
          <w:szCs w:val="24"/>
        </w:rPr>
        <w:t xml:space="preserve"> of which 1089 were </w:t>
      </w:r>
      <w:r w:rsidR="000214F9">
        <w:rPr>
          <w:rFonts w:ascii="Cambria" w:hAnsi="Cambria" w:cs="Arial"/>
          <w:szCs w:val="24"/>
        </w:rPr>
        <w:t>contr</w:t>
      </w:r>
      <w:r w:rsidR="003811A3">
        <w:rPr>
          <w:rFonts w:ascii="Cambria" w:hAnsi="Cambria" w:cs="Arial"/>
          <w:szCs w:val="24"/>
        </w:rPr>
        <w:t xml:space="preserve">ibuted with ideas and comments by </w:t>
      </w:r>
      <w:r w:rsidR="00DD5DFC">
        <w:rPr>
          <w:rFonts w:ascii="Cambria" w:hAnsi="Cambria" w:cs="Arial"/>
          <w:szCs w:val="24"/>
        </w:rPr>
        <w:t>open consultation.</w:t>
      </w:r>
      <w:r w:rsidR="00E266B4">
        <w:rPr>
          <w:rFonts w:ascii="Cambria" w:hAnsi="Cambria" w:cs="Arial"/>
          <w:szCs w:val="24"/>
        </w:rPr>
        <w:t xml:space="preserve"> The degree of acceptance of the proposed online </w:t>
      </w:r>
      <w:r w:rsidR="0003223B">
        <w:rPr>
          <w:rFonts w:ascii="Cambria" w:hAnsi="Cambria" w:cs="Arial"/>
          <w:szCs w:val="24"/>
        </w:rPr>
        <w:t xml:space="preserve">applications </w:t>
      </w:r>
      <w:r w:rsidR="00E266B4">
        <w:rPr>
          <w:rFonts w:ascii="Cambria" w:hAnsi="Cambria" w:cs="Arial"/>
          <w:szCs w:val="24"/>
        </w:rPr>
        <w:t>assisting RIS3 methodologies was very high, with strong and very strong acceptance ranging betw</w:t>
      </w:r>
      <w:r w:rsidR="00C32012">
        <w:rPr>
          <w:rFonts w:ascii="Cambria" w:hAnsi="Cambria" w:cs="Arial"/>
          <w:szCs w:val="24"/>
        </w:rPr>
        <w:t>een 58-82</w:t>
      </w:r>
      <w:r w:rsidR="00E266B4">
        <w:rPr>
          <w:rFonts w:ascii="Cambria" w:hAnsi="Cambria" w:cs="Arial"/>
          <w:szCs w:val="24"/>
        </w:rPr>
        <w:t xml:space="preserve"> percent.</w:t>
      </w:r>
      <w:r w:rsidR="00C32012">
        <w:rPr>
          <w:rFonts w:ascii="Cambria" w:hAnsi="Cambria" w:cs="Arial"/>
          <w:szCs w:val="24"/>
        </w:rPr>
        <w:t xml:space="preserve"> It became evident that </w:t>
      </w:r>
      <w:r w:rsidR="00D23E71">
        <w:rPr>
          <w:rFonts w:ascii="Cambria" w:hAnsi="Cambria" w:cs="Arial"/>
          <w:szCs w:val="24"/>
        </w:rPr>
        <w:t xml:space="preserve">online </w:t>
      </w:r>
      <w:r w:rsidR="00C32012">
        <w:rPr>
          <w:rFonts w:ascii="Cambria" w:hAnsi="Cambria" w:cs="Arial"/>
          <w:szCs w:val="24"/>
        </w:rPr>
        <w:t xml:space="preserve">services </w:t>
      </w:r>
      <w:r w:rsidR="000631C6">
        <w:rPr>
          <w:rFonts w:ascii="Cambria" w:hAnsi="Cambria" w:cs="Arial"/>
          <w:szCs w:val="24"/>
        </w:rPr>
        <w:t>contribute</w:t>
      </w:r>
      <w:r w:rsidR="00D23E71">
        <w:rPr>
          <w:rFonts w:ascii="Cambria" w:hAnsi="Cambria" w:cs="Arial"/>
          <w:szCs w:val="24"/>
        </w:rPr>
        <w:t xml:space="preserve"> to sma</w:t>
      </w:r>
      <w:r w:rsidR="000C2F07">
        <w:rPr>
          <w:rFonts w:ascii="Cambria" w:hAnsi="Cambria" w:cs="Arial"/>
          <w:szCs w:val="24"/>
        </w:rPr>
        <w:t xml:space="preserve">rt specialisation strategies in </w:t>
      </w:r>
      <w:r w:rsidR="00D23E71">
        <w:rPr>
          <w:rFonts w:ascii="Cambria" w:hAnsi="Cambria" w:cs="Arial"/>
          <w:szCs w:val="24"/>
        </w:rPr>
        <w:t>three ways: (1) eas</w:t>
      </w:r>
      <w:r w:rsidR="000265C0">
        <w:rPr>
          <w:rFonts w:ascii="Cambria" w:hAnsi="Cambria" w:cs="Arial"/>
          <w:szCs w:val="24"/>
        </w:rPr>
        <w:t xml:space="preserve">ier access to data, use of </w:t>
      </w:r>
      <w:r w:rsidR="001840F4">
        <w:rPr>
          <w:rFonts w:ascii="Cambria" w:hAnsi="Cambria" w:cs="Arial"/>
          <w:szCs w:val="24"/>
        </w:rPr>
        <w:t xml:space="preserve">larger </w:t>
      </w:r>
      <w:r w:rsidR="00D23E71">
        <w:rPr>
          <w:rFonts w:ascii="Cambria" w:hAnsi="Cambria" w:cs="Arial"/>
          <w:szCs w:val="24"/>
        </w:rPr>
        <w:t>data</w:t>
      </w:r>
      <w:r w:rsidR="001840F4">
        <w:rPr>
          <w:rFonts w:ascii="Cambria" w:hAnsi="Cambria" w:cs="Arial"/>
          <w:szCs w:val="24"/>
        </w:rPr>
        <w:t>sets</w:t>
      </w:r>
      <w:r w:rsidR="000631C6">
        <w:rPr>
          <w:rFonts w:ascii="Cambria" w:hAnsi="Cambria" w:cs="Arial"/>
          <w:szCs w:val="24"/>
        </w:rPr>
        <w:t>,</w:t>
      </w:r>
      <w:r w:rsidR="00D23E71">
        <w:rPr>
          <w:rFonts w:ascii="Cambria" w:hAnsi="Cambria" w:cs="Arial"/>
          <w:szCs w:val="24"/>
        </w:rPr>
        <w:t xml:space="preserve"> and </w:t>
      </w:r>
      <w:r w:rsidR="000631C6">
        <w:rPr>
          <w:rFonts w:ascii="Cambria" w:hAnsi="Cambria" w:cs="Arial"/>
          <w:szCs w:val="24"/>
        </w:rPr>
        <w:t xml:space="preserve">data-based </w:t>
      </w:r>
      <w:r w:rsidR="00D23E71">
        <w:rPr>
          <w:rFonts w:ascii="Cambria" w:hAnsi="Cambria" w:cs="Arial"/>
          <w:szCs w:val="24"/>
        </w:rPr>
        <w:t xml:space="preserve">evidence on regional context and trends, (2) </w:t>
      </w:r>
      <w:r w:rsidR="000631C6">
        <w:rPr>
          <w:rFonts w:ascii="Cambria" w:hAnsi="Cambria" w:cs="Arial"/>
          <w:szCs w:val="24"/>
        </w:rPr>
        <w:t>use of complex methods</w:t>
      </w:r>
      <w:r w:rsidR="000C2F07">
        <w:rPr>
          <w:rFonts w:ascii="Cambria" w:hAnsi="Cambria" w:cs="Arial"/>
          <w:szCs w:val="24"/>
        </w:rPr>
        <w:t>,</w:t>
      </w:r>
      <w:r w:rsidR="000631C6">
        <w:rPr>
          <w:rFonts w:ascii="Cambria" w:hAnsi="Cambria" w:cs="Arial"/>
          <w:szCs w:val="24"/>
        </w:rPr>
        <w:t xml:space="preserve"> transferring the complexity to algorithms, roadmaps, and routines embedded into </w:t>
      </w:r>
      <w:r w:rsidR="000265C0">
        <w:rPr>
          <w:rFonts w:ascii="Cambria" w:hAnsi="Cambria" w:cs="Arial"/>
          <w:szCs w:val="24"/>
        </w:rPr>
        <w:t xml:space="preserve">software </w:t>
      </w:r>
      <w:r w:rsidR="000631C6">
        <w:rPr>
          <w:rFonts w:ascii="Cambria" w:hAnsi="Cambria" w:cs="Arial"/>
          <w:szCs w:val="24"/>
        </w:rPr>
        <w:t>applications</w:t>
      </w:r>
      <w:r w:rsidR="000265C0">
        <w:rPr>
          <w:rFonts w:ascii="Cambria" w:hAnsi="Cambria" w:cs="Arial"/>
          <w:szCs w:val="24"/>
        </w:rPr>
        <w:t xml:space="preserve"> that facilitate their use</w:t>
      </w:r>
      <w:r w:rsidR="000631C6">
        <w:rPr>
          <w:rFonts w:ascii="Cambria" w:hAnsi="Cambria" w:cs="Arial"/>
          <w:szCs w:val="24"/>
        </w:rPr>
        <w:t xml:space="preserve">, and (3) </w:t>
      </w:r>
      <w:r w:rsidR="000C2F07">
        <w:rPr>
          <w:rFonts w:ascii="Cambria" w:hAnsi="Cambria" w:cs="Arial"/>
          <w:szCs w:val="24"/>
        </w:rPr>
        <w:t xml:space="preserve">wider user engagement, easier dissemination of strategy vision, and collaborative </w:t>
      </w:r>
      <w:r w:rsidR="000265C0">
        <w:rPr>
          <w:rFonts w:ascii="Cambria" w:hAnsi="Cambria" w:cs="Arial"/>
          <w:szCs w:val="24"/>
        </w:rPr>
        <w:t xml:space="preserve">elaboration </w:t>
      </w:r>
      <w:r w:rsidR="000C2F07">
        <w:rPr>
          <w:rFonts w:ascii="Cambria" w:hAnsi="Cambria" w:cs="Arial"/>
          <w:szCs w:val="24"/>
        </w:rPr>
        <w:t>of priorities and action plans.</w:t>
      </w:r>
      <w:r w:rsidR="000265C0">
        <w:rPr>
          <w:rFonts w:ascii="Cambria" w:hAnsi="Cambria" w:cs="Arial"/>
          <w:szCs w:val="24"/>
        </w:rPr>
        <w:t xml:space="preserve"> </w:t>
      </w:r>
    </w:p>
    <w:p w:rsidR="006B7538" w:rsidRDefault="006B7538" w:rsidP="00D4385F">
      <w:pPr>
        <w:spacing w:after="0" w:line="240" w:lineRule="auto"/>
        <w:jc w:val="both"/>
        <w:rPr>
          <w:rFonts w:ascii="Cambria" w:hAnsi="Cambria" w:cs="Arial"/>
          <w:szCs w:val="24"/>
        </w:rPr>
      </w:pPr>
    </w:p>
    <w:p w:rsidR="008E06CA" w:rsidRDefault="000265C0" w:rsidP="00D4385F">
      <w:pPr>
        <w:spacing w:after="0" w:line="240" w:lineRule="auto"/>
        <w:jc w:val="both"/>
        <w:rPr>
          <w:rFonts w:ascii="Cambria" w:hAnsi="Cambria" w:cs="Arial"/>
          <w:szCs w:val="24"/>
        </w:rPr>
      </w:pPr>
      <w:r>
        <w:rPr>
          <w:rFonts w:ascii="Cambria" w:hAnsi="Cambria" w:cs="Arial"/>
          <w:szCs w:val="24"/>
        </w:rPr>
        <w:t xml:space="preserve">To our mind, these directions are setting the scene for the coming programming period 2021-2027, in which the smart specialisation agenda and RIS3 will reach a more mature stage, enabling </w:t>
      </w:r>
      <w:r w:rsidR="006B7538">
        <w:rPr>
          <w:rFonts w:ascii="Cambria" w:hAnsi="Cambria" w:cs="Arial"/>
          <w:szCs w:val="24"/>
        </w:rPr>
        <w:t>higher quality and more informed strategies.</w:t>
      </w:r>
      <w:r>
        <w:rPr>
          <w:rFonts w:ascii="Cambria" w:hAnsi="Cambria" w:cs="Arial"/>
          <w:szCs w:val="24"/>
        </w:rPr>
        <w:t xml:space="preserve"> </w:t>
      </w:r>
    </w:p>
    <w:p w:rsidR="00DD0E92" w:rsidRPr="00B044E4" w:rsidRDefault="00DD0E92" w:rsidP="00CA379D">
      <w:pPr>
        <w:spacing w:after="0" w:line="240" w:lineRule="auto"/>
        <w:rPr>
          <w:rFonts w:ascii="Cambria" w:hAnsi="Cambria" w:cs="Arial"/>
          <w:szCs w:val="24"/>
        </w:rPr>
      </w:pPr>
    </w:p>
    <w:p w:rsidR="00DD0E92" w:rsidRPr="00761DF1" w:rsidRDefault="00795CC1" w:rsidP="0030720F">
      <w:pPr>
        <w:spacing w:after="120" w:line="240" w:lineRule="auto"/>
        <w:jc w:val="both"/>
        <w:rPr>
          <w:rFonts w:ascii="Cambria" w:hAnsi="Cambria" w:cs="Arial"/>
          <w:b/>
        </w:rPr>
      </w:pPr>
      <w:r w:rsidRPr="00761DF1">
        <w:rPr>
          <w:rFonts w:ascii="Cambria" w:hAnsi="Cambria" w:cs="Arial"/>
          <w:b/>
        </w:rPr>
        <w:lastRenderedPageBreak/>
        <w:t xml:space="preserve">The </w:t>
      </w:r>
      <w:r w:rsidR="009253BF">
        <w:rPr>
          <w:rFonts w:ascii="Cambria" w:hAnsi="Cambria" w:cs="Arial"/>
          <w:b/>
        </w:rPr>
        <w:t xml:space="preserve">significance and </w:t>
      </w:r>
      <w:r w:rsidR="00761DF1">
        <w:rPr>
          <w:rFonts w:ascii="Cambria" w:hAnsi="Cambria" w:cs="Arial"/>
          <w:b/>
        </w:rPr>
        <w:t xml:space="preserve">contribution </w:t>
      </w:r>
      <w:r w:rsidRPr="00761DF1">
        <w:rPr>
          <w:rFonts w:ascii="Cambria" w:hAnsi="Cambria" w:cs="Arial"/>
          <w:b/>
        </w:rPr>
        <w:t>of d</w:t>
      </w:r>
      <w:r w:rsidR="00B36AB8" w:rsidRPr="00761DF1">
        <w:rPr>
          <w:rFonts w:ascii="Cambria" w:hAnsi="Cambria" w:cs="Arial"/>
          <w:b/>
        </w:rPr>
        <w:t xml:space="preserve">atasets </w:t>
      </w:r>
    </w:p>
    <w:p w:rsidR="00BE6C87" w:rsidRDefault="00BE6C87" w:rsidP="00CA379D">
      <w:pPr>
        <w:widowControl w:val="0"/>
        <w:autoSpaceDE w:val="0"/>
        <w:autoSpaceDN w:val="0"/>
        <w:adjustRightInd w:val="0"/>
        <w:spacing w:after="0" w:line="240" w:lineRule="auto"/>
        <w:jc w:val="both"/>
        <w:rPr>
          <w:rFonts w:ascii="Cambria" w:hAnsi="Cambria" w:cs="Arial"/>
        </w:rPr>
      </w:pPr>
      <w:r>
        <w:rPr>
          <w:rFonts w:ascii="Cambria" w:hAnsi="Cambria" w:cs="Arial"/>
        </w:rPr>
        <w:t>Easy access to data has a direct impact</w:t>
      </w:r>
      <w:r w:rsidR="00AE05E2">
        <w:rPr>
          <w:rFonts w:ascii="Cambria" w:hAnsi="Cambria" w:cs="Arial"/>
        </w:rPr>
        <w:t xml:space="preserve"> on</w:t>
      </w:r>
      <w:r w:rsidR="00386B65">
        <w:rPr>
          <w:rFonts w:ascii="Cambria" w:hAnsi="Cambria" w:cs="Arial"/>
        </w:rPr>
        <w:t xml:space="preserve"> </w:t>
      </w:r>
      <w:r>
        <w:rPr>
          <w:rFonts w:ascii="Cambria" w:hAnsi="Cambria" w:cs="Arial"/>
        </w:rPr>
        <w:t xml:space="preserve">the effort needed and productivity </w:t>
      </w:r>
      <w:r w:rsidR="00386B65">
        <w:rPr>
          <w:rFonts w:ascii="Cambria" w:hAnsi="Cambria" w:cs="Arial"/>
        </w:rPr>
        <w:t xml:space="preserve">of the RIS3 management team. Take for instance, the </w:t>
      </w:r>
      <w:r w:rsidR="00386B65" w:rsidRPr="00386B65">
        <w:rPr>
          <w:rFonts w:ascii="Cambria" w:hAnsi="Cambria" w:cs="Arial"/>
          <w:i/>
        </w:rPr>
        <w:t>Regional Assets Mapping</w:t>
      </w:r>
      <w:r w:rsidR="00386B65">
        <w:rPr>
          <w:rFonts w:ascii="Cambria" w:hAnsi="Cambria" w:cs="Arial"/>
          <w:i/>
        </w:rPr>
        <w:t xml:space="preserve">. </w:t>
      </w:r>
      <w:r w:rsidR="00386B65">
        <w:rPr>
          <w:rFonts w:ascii="Cambria" w:hAnsi="Cambria" w:cs="Arial"/>
        </w:rPr>
        <w:t xml:space="preserve">Finding regional data on 55 indicators by using this application and comparing with peer regions is a </w:t>
      </w:r>
      <w:r w:rsidR="009253BF">
        <w:rPr>
          <w:rFonts w:ascii="Cambria" w:hAnsi="Cambria" w:cs="Arial"/>
        </w:rPr>
        <w:t xml:space="preserve">work </w:t>
      </w:r>
      <w:r w:rsidR="00386B65">
        <w:rPr>
          <w:rFonts w:ascii="Cambria" w:hAnsi="Cambria" w:cs="Arial"/>
        </w:rPr>
        <w:t xml:space="preserve">of minutes. Doing the same by access to Eurostat databases needs effort measured in days. The </w:t>
      </w:r>
      <w:r w:rsidR="000105A2">
        <w:rPr>
          <w:rFonts w:ascii="Cambria" w:hAnsi="Cambria" w:cs="Arial"/>
        </w:rPr>
        <w:t xml:space="preserve">gain in </w:t>
      </w:r>
      <w:r w:rsidR="00386B65">
        <w:rPr>
          <w:rFonts w:ascii="Cambria" w:hAnsi="Cambria" w:cs="Arial"/>
        </w:rPr>
        <w:t xml:space="preserve">productivity is enormous. </w:t>
      </w:r>
      <w:r w:rsidR="000105A2">
        <w:rPr>
          <w:rFonts w:ascii="Cambria" w:hAnsi="Cambria" w:cs="Arial"/>
        </w:rPr>
        <w:t xml:space="preserve">The same is true for disseminating the vision of RIS3, understanding the institutional and administrative framework of the smart specialisation, which can be done </w:t>
      </w:r>
      <w:r w:rsidR="009253BF">
        <w:rPr>
          <w:rFonts w:ascii="Cambria" w:hAnsi="Cambria" w:cs="Arial"/>
        </w:rPr>
        <w:t xml:space="preserve">by direct access to mushup applications and use of </w:t>
      </w:r>
      <w:r w:rsidR="000105A2">
        <w:rPr>
          <w:rFonts w:ascii="Cambria" w:hAnsi="Cambria" w:cs="Arial"/>
        </w:rPr>
        <w:t>available templates avoiding duplication of effort</w:t>
      </w:r>
      <w:r w:rsidR="009253BF">
        <w:rPr>
          <w:rFonts w:ascii="Cambria" w:hAnsi="Cambria" w:cs="Arial"/>
        </w:rPr>
        <w:t>s</w:t>
      </w:r>
      <w:r w:rsidR="000105A2">
        <w:rPr>
          <w:rFonts w:ascii="Cambria" w:hAnsi="Cambria" w:cs="Arial"/>
        </w:rPr>
        <w:t>.</w:t>
      </w:r>
    </w:p>
    <w:p w:rsidR="00386B65" w:rsidRDefault="00386B65" w:rsidP="00CA379D">
      <w:pPr>
        <w:widowControl w:val="0"/>
        <w:autoSpaceDE w:val="0"/>
        <w:autoSpaceDN w:val="0"/>
        <w:adjustRightInd w:val="0"/>
        <w:spacing w:after="0" w:line="240" w:lineRule="auto"/>
        <w:jc w:val="both"/>
        <w:rPr>
          <w:rFonts w:ascii="Cambria" w:hAnsi="Cambria" w:cs="Arial"/>
        </w:rPr>
      </w:pPr>
    </w:p>
    <w:p w:rsidR="00B36AB8" w:rsidRPr="00BE6C87" w:rsidRDefault="00685C06" w:rsidP="00D4385F">
      <w:pPr>
        <w:widowControl w:val="0"/>
        <w:autoSpaceDE w:val="0"/>
        <w:autoSpaceDN w:val="0"/>
        <w:adjustRightInd w:val="0"/>
        <w:spacing w:after="0" w:line="240" w:lineRule="auto"/>
        <w:jc w:val="both"/>
        <w:rPr>
          <w:rFonts w:ascii="Cambria" w:hAnsi="Cambria" w:cs="Arial"/>
        </w:rPr>
      </w:pPr>
      <w:r>
        <w:rPr>
          <w:rFonts w:ascii="Cambria" w:hAnsi="Cambria" w:cs="Arial"/>
        </w:rPr>
        <w:t>E</w:t>
      </w:r>
      <w:r w:rsidR="00AE05E2">
        <w:rPr>
          <w:rFonts w:ascii="Cambria" w:hAnsi="Cambria" w:cs="Arial"/>
        </w:rPr>
        <w:t xml:space="preserve">vidence-based policy design is a matter of data. </w:t>
      </w:r>
      <w:r w:rsidR="00667394">
        <w:rPr>
          <w:rFonts w:ascii="Cambria" w:hAnsi="Cambria" w:cs="Arial"/>
        </w:rPr>
        <w:t>There is a</w:t>
      </w:r>
      <w:r w:rsidR="00BE6C87">
        <w:rPr>
          <w:rFonts w:ascii="Cambria" w:hAnsi="Cambria" w:cs="Arial"/>
        </w:rPr>
        <w:t xml:space="preserve"> pressing need of data</w:t>
      </w:r>
      <w:r w:rsidR="00667394">
        <w:rPr>
          <w:rFonts w:ascii="Cambria" w:hAnsi="Cambria" w:cs="Arial"/>
        </w:rPr>
        <w:t xml:space="preserve"> for monitoring and assessment. A common EU monitoring and assessment model would be extremely useful</w:t>
      </w:r>
      <w:r w:rsidR="00AE05E2">
        <w:rPr>
          <w:rFonts w:ascii="Cambria" w:hAnsi="Cambria" w:cs="Arial"/>
        </w:rPr>
        <w:t xml:space="preserve"> in this regard</w:t>
      </w:r>
      <w:r w:rsidR="00667394">
        <w:rPr>
          <w:rFonts w:ascii="Cambria" w:hAnsi="Cambria" w:cs="Arial"/>
        </w:rPr>
        <w:t xml:space="preserve">. The first steps </w:t>
      </w:r>
      <w:r w:rsidR="00AE05E2">
        <w:rPr>
          <w:rFonts w:ascii="Cambria" w:hAnsi="Cambria" w:cs="Arial"/>
        </w:rPr>
        <w:t xml:space="preserve">have </w:t>
      </w:r>
      <w:r w:rsidR="00667394">
        <w:rPr>
          <w:rFonts w:ascii="Cambria" w:hAnsi="Cambria" w:cs="Arial"/>
        </w:rPr>
        <w:t xml:space="preserve">already done by standardising the </w:t>
      </w:r>
      <w:r w:rsidR="00AE05E2">
        <w:rPr>
          <w:rFonts w:ascii="Cambria" w:hAnsi="Cambria" w:cs="Arial"/>
        </w:rPr>
        <w:t xml:space="preserve">RIS3 </w:t>
      </w:r>
      <w:r w:rsidR="00667394">
        <w:rPr>
          <w:rFonts w:ascii="Cambria" w:hAnsi="Cambria" w:cs="Arial"/>
        </w:rPr>
        <w:t>actions by Thematic Objective and Investment Priority; als</w:t>
      </w:r>
      <w:r w:rsidR="00AE05E2">
        <w:rPr>
          <w:rFonts w:ascii="Cambria" w:hAnsi="Cambria" w:cs="Arial"/>
        </w:rPr>
        <w:t>o by</w:t>
      </w:r>
      <w:r w:rsidR="00667394">
        <w:rPr>
          <w:rFonts w:ascii="Cambria" w:hAnsi="Cambria" w:cs="Arial"/>
        </w:rPr>
        <w:t xml:space="preserve"> defining a pool o</w:t>
      </w:r>
      <w:r w:rsidR="0074215D">
        <w:rPr>
          <w:rFonts w:ascii="Cambria" w:hAnsi="Cambria" w:cs="Arial"/>
        </w:rPr>
        <w:t>f common outputs indicators (CO</w:t>
      </w:r>
      <w:r w:rsidR="00667394">
        <w:rPr>
          <w:rFonts w:ascii="Cambria" w:hAnsi="Cambria" w:cs="Arial"/>
        </w:rPr>
        <w:t xml:space="preserve">01 to CO46). </w:t>
      </w:r>
      <w:r w:rsidR="00DF4871">
        <w:rPr>
          <w:rFonts w:ascii="Cambria" w:hAnsi="Cambria" w:cs="Arial"/>
        </w:rPr>
        <w:t>But assessment needs more data. Time</w:t>
      </w:r>
      <w:r w:rsidR="00AE05E2">
        <w:rPr>
          <w:rFonts w:ascii="Cambria" w:hAnsi="Cambria" w:cs="Arial"/>
        </w:rPr>
        <w:t xml:space="preserve"> series by output indicator are</w:t>
      </w:r>
      <w:r w:rsidR="00DF4871">
        <w:rPr>
          <w:rFonts w:ascii="Cambria" w:hAnsi="Cambria" w:cs="Arial"/>
        </w:rPr>
        <w:t xml:space="preserve"> no</w:t>
      </w:r>
      <w:r w:rsidR="008024E7">
        <w:rPr>
          <w:rFonts w:ascii="Cambria" w:hAnsi="Cambria" w:cs="Arial"/>
        </w:rPr>
        <w:t>t enough</w:t>
      </w:r>
      <w:r w:rsidR="00DF4871">
        <w:rPr>
          <w:rFonts w:ascii="Cambria" w:hAnsi="Cambria" w:cs="Arial"/>
        </w:rPr>
        <w:t xml:space="preserve">. Finding data from other regions, peer regions in particular, would enable benchmarking, </w:t>
      </w:r>
      <w:r w:rsidR="008024E7">
        <w:rPr>
          <w:rFonts w:ascii="Cambria" w:hAnsi="Cambria" w:cs="Arial"/>
        </w:rPr>
        <w:t xml:space="preserve">and </w:t>
      </w:r>
      <w:r w:rsidR="00DF4871">
        <w:rPr>
          <w:rFonts w:ascii="Cambria" w:hAnsi="Cambria" w:cs="Arial"/>
        </w:rPr>
        <w:t xml:space="preserve">identifying the focus areas of each strategy in absolute and comparative terms. Moreover, </w:t>
      </w:r>
      <w:r w:rsidR="008024E7">
        <w:rPr>
          <w:rFonts w:ascii="Cambria" w:hAnsi="Cambria" w:cs="Arial"/>
        </w:rPr>
        <w:t xml:space="preserve">assessing the regional impact of policy instruments demands data from many regions to investigate relationships </w:t>
      </w:r>
      <w:r w:rsidR="00D100C3">
        <w:rPr>
          <w:rFonts w:ascii="Cambria" w:hAnsi="Cambria" w:cs="Arial"/>
        </w:rPr>
        <w:t xml:space="preserve">and dependences </w:t>
      </w:r>
      <w:r w:rsidR="008024E7">
        <w:rPr>
          <w:rFonts w:ascii="Cambria" w:hAnsi="Cambria" w:cs="Arial"/>
        </w:rPr>
        <w:t>between output and results indicators</w:t>
      </w:r>
      <w:r w:rsidR="00D100C3">
        <w:rPr>
          <w:rFonts w:ascii="Cambria" w:hAnsi="Cambria" w:cs="Arial"/>
        </w:rPr>
        <w:t xml:space="preserve">. This would reveal </w:t>
      </w:r>
      <w:r w:rsidR="008024E7">
        <w:rPr>
          <w:rFonts w:ascii="Cambria" w:hAnsi="Cambria" w:cs="Arial"/>
        </w:rPr>
        <w:t xml:space="preserve">the real power of policy instruments to influence growth and </w:t>
      </w:r>
      <w:r w:rsidR="0074215D">
        <w:rPr>
          <w:rFonts w:ascii="Cambria" w:hAnsi="Cambria" w:cs="Arial"/>
        </w:rPr>
        <w:t>sustainability</w:t>
      </w:r>
      <w:r w:rsidR="008024E7">
        <w:rPr>
          <w:rFonts w:ascii="Cambria" w:hAnsi="Cambria" w:cs="Arial"/>
        </w:rPr>
        <w:t xml:space="preserve">. The </w:t>
      </w:r>
      <w:r w:rsidR="00BF3763" w:rsidRPr="00BF3763">
        <w:rPr>
          <w:rFonts w:ascii="Cambria" w:hAnsi="Cambria" w:cs="Arial"/>
          <w:i/>
        </w:rPr>
        <w:t>Output and Result Indicators</w:t>
      </w:r>
      <w:r w:rsidR="00BF3763">
        <w:rPr>
          <w:rFonts w:ascii="Cambria" w:hAnsi="Cambria" w:cs="Arial"/>
        </w:rPr>
        <w:t xml:space="preserve"> application we developed </w:t>
      </w:r>
      <w:r w:rsidR="0074215D">
        <w:rPr>
          <w:rFonts w:ascii="Cambria" w:hAnsi="Cambria" w:cs="Arial"/>
        </w:rPr>
        <w:t xml:space="preserve">(Annex 5.2) </w:t>
      </w:r>
      <w:r w:rsidR="00BF3763">
        <w:rPr>
          <w:rFonts w:ascii="Cambria" w:hAnsi="Cambria" w:cs="Arial"/>
        </w:rPr>
        <w:t>enable</w:t>
      </w:r>
      <w:r w:rsidR="00D100C3">
        <w:rPr>
          <w:rFonts w:ascii="Cambria" w:hAnsi="Cambria" w:cs="Arial"/>
        </w:rPr>
        <w:t>s</w:t>
      </w:r>
      <w:r w:rsidR="00BF3763">
        <w:rPr>
          <w:rFonts w:ascii="Cambria" w:hAnsi="Cambria" w:cs="Arial"/>
        </w:rPr>
        <w:t xml:space="preserve"> cor</w:t>
      </w:r>
      <w:r w:rsidR="00D100C3">
        <w:rPr>
          <w:rFonts w:ascii="Cambria" w:hAnsi="Cambria" w:cs="Arial"/>
        </w:rPr>
        <w:t>relation</w:t>
      </w:r>
      <w:r w:rsidR="00BF3763">
        <w:rPr>
          <w:rFonts w:ascii="Cambria" w:hAnsi="Cambria" w:cs="Arial"/>
        </w:rPr>
        <w:t xml:space="preserve"> and regress</w:t>
      </w:r>
      <w:r w:rsidR="00D100C3">
        <w:rPr>
          <w:rFonts w:ascii="Cambria" w:hAnsi="Cambria" w:cs="Arial"/>
        </w:rPr>
        <w:t>ion analysis</w:t>
      </w:r>
      <w:r w:rsidR="00BF3763">
        <w:rPr>
          <w:rFonts w:ascii="Cambria" w:hAnsi="Cambria" w:cs="Arial"/>
        </w:rPr>
        <w:t>, provided that datasets from many regions are available</w:t>
      </w:r>
      <w:r w:rsidR="0074215D">
        <w:rPr>
          <w:rFonts w:ascii="Cambria" w:hAnsi="Cambria" w:cs="Arial"/>
        </w:rPr>
        <w:t xml:space="preserve"> conformed </w:t>
      </w:r>
      <w:r w:rsidR="00BF3763">
        <w:rPr>
          <w:rFonts w:ascii="Cambria" w:hAnsi="Cambria" w:cs="Arial"/>
        </w:rPr>
        <w:t>to conditions of correlation and regression.</w:t>
      </w:r>
    </w:p>
    <w:p w:rsidR="00B36AB8" w:rsidRPr="00BE6C87" w:rsidRDefault="00B36AB8" w:rsidP="00CA379D">
      <w:pPr>
        <w:widowControl w:val="0"/>
        <w:autoSpaceDE w:val="0"/>
        <w:autoSpaceDN w:val="0"/>
        <w:adjustRightInd w:val="0"/>
        <w:spacing w:after="0" w:line="240" w:lineRule="auto"/>
        <w:jc w:val="both"/>
        <w:rPr>
          <w:rFonts w:ascii="Cambria" w:hAnsi="Cambria" w:cs="Arial"/>
        </w:rPr>
      </w:pPr>
    </w:p>
    <w:p w:rsidR="00B36AB8" w:rsidRPr="00BE6C87" w:rsidRDefault="00D100C3" w:rsidP="00CA379D">
      <w:pPr>
        <w:widowControl w:val="0"/>
        <w:autoSpaceDE w:val="0"/>
        <w:autoSpaceDN w:val="0"/>
        <w:adjustRightInd w:val="0"/>
        <w:spacing w:after="0" w:line="240" w:lineRule="auto"/>
        <w:jc w:val="both"/>
        <w:rPr>
          <w:rFonts w:ascii="Cambria" w:hAnsi="Cambria" w:cs="Arial"/>
        </w:rPr>
      </w:pPr>
      <w:r>
        <w:rPr>
          <w:rFonts w:ascii="Cambria" w:hAnsi="Cambria" w:cs="Arial"/>
        </w:rPr>
        <w:t xml:space="preserve">Another area in which data </w:t>
      </w:r>
      <w:r w:rsidR="0019658C">
        <w:rPr>
          <w:rFonts w:ascii="Cambria" w:hAnsi="Cambria" w:cs="Arial"/>
        </w:rPr>
        <w:t xml:space="preserve">would </w:t>
      </w:r>
      <w:r>
        <w:rPr>
          <w:rFonts w:ascii="Cambria" w:hAnsi="Cambria" w:cs="Arial"/>
        </w:rPr>
        <w:t>improve the quality of RIS3</w:t>
      </w:r>
      <w:r w:rsidR="00D4385F">
        <w:rPr>
          <w:rFonts w:ascii="Cambria" w:hAnsi="Cambria" w:cs="Arial"/>
        </w:rPr>
        <w:t xml:space="preserve"> is related to user-generated content. Data from social med</w:t>
      </w:r>
      <w:r w:rsidR="002D7701">
        <w:rPr>
          <w:rFonts w:ascii="Cambria" w:hAnsi="Cambria" w:cs="Arial"/>
        </w:rPr>
        <w:t xml:space="preserve">ia or user satisfaction surveys may directly inform about the added value </w:t>
      </w:r>
      <w:r w:rsidR="00F96962">
        <w:rPr>
          <w:rFonts w:ascii="Cambria" w:hAnsi="Cambria" w:cs="Arial"/>
        </w:rPr>
        <w:t xml:space="preserve">and the </w:t>
      </w:r>
      <w:r w:rsidR="00817E8D">
        <w:rPr>
          <w:rFonts w:ascii="Cambria" w:hAnsi="Cambria" w:cs="Arial"/>
        </w:rPr>
        <w:t xml:space="preserve">acceptance </w:t>
      </w:r>
      <w:r w:rsidR="002D7701">
        <w:rPr>
          <w:rFonts w:ascii="Cambria" w:hAnsi="Cambria" w:cs="Arial"/>
        </w:rPr>
        <w:t xml:space="preserve">of </w:t>
      </w:r>
      <w:r w:rsidR="00817E8D">
        <w:rPr>
          <w:rFonts w:ascii="Cambria" w:hAnsi="Cambria" w:cs="Arial"/>
        </w:rPr>
        <w:t xml:space="preserve">RIS3 </w:t>
      </w:r>
      <w:r w:rsidR="002D7701">
        <w:rPr>
          <w:rFonts w:ascii="Cambria" w:hAnsi="Cambria" w:cs="Arial"/>
        </w:rPr>
        <w:t>actions. Much more effective w</w:t>
      </w:r>
      <w:r w:rsidR="00E540A3">
        <w:rPr>
          <w:rFonts w:ascii="Cambria" w:hAnsi="Cambria" w:cs="Arial"/>
        </w:rPr>
        <w:t xml:space="preserve">ould </w:t>
      </w:r>
      <w:r w:rsidR="002D7701">
        <w:rPr>
          <w:rFonts w:ascii="Cambria" w:hAnsi="Cambria" w:cs="Arial"/>
        </w:rPr>
        <w:t xml:space="preserve">be content provided by stakeholders on actions already implemented, creating a European database of </w:t>
      </w:r>
      <w:r w:rsidR="00F96962">
        <w:rPr>
          <w:rFonts w:ascii="Cambria" w:hAnsi="Cambria" w:cs="Arial"/>
        </w:rPr>
        <w:t xml:space="preserve">RIS3 </w:t>
      </w:r>
      <w:r w:rsidR="002D7701">
        <w:rPr>
          <w:rFonts w:ascii="Cambria" w:hAnsi="Cambria" w:cs="Arial"/>
        </w:rPr>
        <w:t>actions</w:t>
      </w:r>
      <w:r w:rsidR="00E540A3">
        <w:rPr>
          <w:rFonts w:ascii="Cambria" w:hAnsi="Cambria" w:cs="Arial"/>
        </w:rPr>
        <w:t>,</w:t>
      </w:r>
      <w:r w:rsidR="002D7701">
        <w:rPr>
          <w:rFonts w:ascii="Cambria" w:hAnsi="Cambria" w:cs="Arial"/>
        </w:rPr>
        <w:t xml:space="preserve"> which would be extremely useful during the co-design process, avoiding </w:t>
      </w:r>
      <w:r w:rsidR="00F96962">
        <w:rPr>
          <w:rFonts w:ascii="Cambria" w:hAnsi="Cambria" w:cs="Arial"/>
        </w:rPr>
        <w:t>n</w:t>
      </w:r>
      <w:r w:rsidR="002D7701" w:rsidRPr="002D7701">
        <w:rPr>
          <w:rFonts w:ascii="Cambria" w:hAnsi="Cambria" w:cs="Arial"/>
        </w:rPr>
        <w:t>ot</w:t>
      </w:r>
      <w:r w:rsidR="00F96962">
        <w:rPr>
          <w:rFonts w:ascii="Cambria" w:hAnsi="Cambria" w:cs="Arial"/>
        </w:rPr>
        <w:t>-i</w:t>
      </w:r>
      <w:r w:rsidR="002D7701" w:rsidRPr="002D7701">
        <w:rPr>
          <w:rFonts w:ascii="Cambria" w:hAnsi="Cambria" w:cs="Arial"/>
        </w:rPr>
        <w:t>nvented</w:t>
      </w:r>
      <w:r w:rsidR="00F96962">
        <w:rPr>
          <w:rFonts w:ascii="Cambria" w:hAnsi="Cambria" w:cs="Arial"/>
        </w:rPr>
        <w:t>-h</w:t>
      </w:r>
      <w:r w:rsidR="002D7701" w:rsidRPr="002D7701">
        <w:rPr>
          <w:rFonts w:ascii="Cambria" w:hAnsi="Cambria" w:cs="Arial"/>
        </w:rPr>
        <w:t>ere</w:t>
      </w:r>
      <w:r w:rsidR="002D7701">
        <w:rPr>
          <w:rFonts w:ascii="Cambria" w:hAnsi="Cambria" w:cs="Arial"/>
        </w:rPr>
        <w:t xml:space="preserve"> attitudes. </w:t>
      </w:r>
      <w:r w:rsidR="00817E8D">
        <w:rPr>
          <w:rFonts w:ascii="Cambria" w:hAnsi="Cambria" w:cs="Arial"/>
        </w:rPr>
        <w:t>Finding datasets ready for analysis and visualisation (e.g. academic publications, patent data, specialisation data, etc.) would elucidate trends for which statistical agencies do not provide data at lower geographical nomenclatures.</w:t>
      </w:r>
    </w:p>
    <w:p w:rsidR="00B36AB8" w:rsidRPr="00BE6C87" w:rsidRDefault="00B36AB8" w:rsidP="00CA379D">
      <w:pPr>
        <w:widowControl w:val="0"/>
        <w:autoSpaceDE w:val="0"/>
        <w:autoSpaceDN w:val="0"/>
        <w:adjustRightInd w:val="0"/>
        <w:spacing w:after="0" w:line="240" w:lineRule="auto"/>
        <w:jc w:val="both"/>
        <w:rPr>
          <w:rFonts w:ascii="Cambria" w:hAnsi="Cambria" w:cs="Arial"/>
        </w:rPr>
      </w:pPr>
    </w:p>
    <w:p w:rsidR="00323609" w:rsidRPr="00761DF1" w:rsidRDefault="00795CC1" w:rsidP="00761DF1">
      <w:pPr>
        <w:widowControl w:val="0"/>
        <w:autoSpaceDE w:val="0"/>
        <w:autoSpaceDN w:val="0"/>
        <w:adjustRightInd w:val="0"/>
        <w:spacing w:after="120" w:line="240" w:lineRule="auto"/>
        <w:jc w:val="both"/>
        <w:rPr>
          <w:rFonts w:ascii="Cambria" w:hAnsi="Cambria" w:cs="Arial"/>
          <w:b/>
        </w:rPr>
      </w:pPr>
      <w:r w:rsidRPr="00761DF1">
        <w:rPr>
          <w:rFonts w:ascii="Cambria" w:hAnsi="Cambria" w:cs="Arial"/>
          <w:b/>
        </w:rPr>
        <w:t xml:space="preserve">The </w:t>
      </w:r>
      <w:r w:rsidR="00761DF1">
        <w:rPr>
          <w:rFonts w:ascii="Cambria" w:hAnsi="Cambria" w:cs="Arial"/>
          <w:b/>
        </w:rPr>
        <w:t>contribution o</w:t>
      </w:r>
      <w:r w:rsidRPr="00761DF1">
        <w:rPr>
          <w:rFonts w:ascii="Cambria" w:hAnsi="Cambria" w:cs="Arial"/>
          <w:b/>
        </w:rPr>
        <w:t>f s</w:t>
      </w:r>
      <w:r w:rsidR="00B36AB8" w:rsidRPr="00761DF1">
        <w:rPr>
          <w:rFonts w:ascii="Cambria" w:hAnsi="Cambria" w:cs="Arial"/>
          <w:b/>
        </w:rPr>
        <w:t>oftware</w:t>
      </w:r>
      <w:r w:rsidR="00761DF1">
        <w:rPr>
          <w:rFonts w:ascii="Cambria" w:hAnsi="Cambria" w:cs="Arial"/>
          <w:b/>
        </w:rPr>
        <w:t xml:space="preserve"> to </w:t>
      </w:r>
      <w:r w:rsidR="001840F4" w:rsidRPr="00761DF1">
        <w:rPr>
          <w:rFonts w:ascii="Cambria" w:hAnsi="Cambria" w:cs="Arial"/>
          <w:b/>
        </w:rPr>
        <w:t xml:space="preserve">methods </w:t>
      </w:r>
    </w:p>
    <w:p w:rsidR="00BF1429" w:rsidRDefault="00685C06" w:rsidP="002624A7">
      <w:pPr>
        <w:spacing w:after="0" w:line="240" w:lineRule="auto"/>
        <w:jc w:val="both"/>
        <w:rPr>
          <w:rFonts w:ascii="Cambria" w:hAnsi="Cambria" w:cs="Arial"/>
        </w:rPr>
      </w:pPr>
      <w:r>
        <w:rPr>
          <w:rFonts w:ascii="Cambria" w:hAnsi="Cambria" w:cs="Arial"/>
        </w:rPr>
        <w:t xml:space="preserve">Together with data, software applications are proved very effective in improving the quality of RIS3.  </w:t>
      </w:r>
      <w:r w:rsidR="0019658C">
        <w:rPr>
          <w:rFonts w:ascii="Cambria" w:hAnsi="Cambria" w:cs="Arial"/>
        </w:rPr>
        <w:t xml:space="preserve">Applications such as </w:t>
      </w:r>
      <w:r w:rsidR="0019658C" w:rsidRPr="0019658C">
        <w:rPr>
          <w:rFonts w:ascii="Cambria" w:hAnsi="Cambria" w:cs="Arial"/>
          <w:i/>
          <w:szCs w:val="24"/>
        </w:rPr>
        <w:t>Stakeholder Engagemen</w:t>
      </w:r>
      <w:r w:rsidR="0019658C">
        <w:rPr>
          <w:rFonts w:ascii="Cambria" w:hAnsi="Cambria" w:cs="Arial"/>
          <w:szCs w:val="24"/>
        </w:rPr>
        <w:t xml:space="preserve">t (Annex 1.2), </w:t>
      </w:r>
      <w:r w:rsidR="0019658C" w:rsidRPr="0019658C">
        <w:rPr>
          <w:rFonts w:ascii="Cambria" w:hAnsi="Cambria" w:cs="Arial"/>
          <w:i/>
          <w:szCs w:val="24"/>
        </w:rPr>
        <w:t>Scenario Building</w:t>
      </w:r>
      <w:r w:rsidR="0019658C">
        <w:rPr>
          <w:rFonts w:ascii="Cambria" w:hAnsi="Cambria" w:cs="Arial"/>
          <w:szCs w:val="24"/>
        </w:rPr>
        <w:t xml:space="preserve"> (Annex 3.2), </w:t>
      </w:r>
      <w:r w:rsidR="0019658C" w:rsidRPr="0019658C">
        <w:rPr>
          <w:rFonts w:ascii="Cambria" w:hAnsi="Cambria" w:cs="Arial"/>
          <w:i/>
          <w:szCs w:val="24"/>
        </w:rPr>
        <w:t>Foresight</w:t>
      </w:r>
      <w:r w:rsidR="0019658C">
        <w:rPr>
          <w:rFonts w:ascii="Cambria" w:hAnsi="Cambria" w:cs="Arial"/>
          <w:szCs w:val="24"/>
        </w:rPr>
        <w:t xml:space="preserve"> (Annex 3.3), </w:t>
      </w:r>
      <w:r w:rsidR="0019658C" w:rsidRPr="0019658C">
        <w:rPr>
          <w:rFonts w:ascii="Cambria" w:hAnsi="Cambria" w:cs="Arial"/>
          <w:i/>
          <w:szCs w:val="24"/>
        </w:rPr>
        <w:t>Related Variety Analysis</w:t>
      </w:r>
      <w:r w:rsidR="0019658C">
        <w:rPr>
          <w:rFonts w:ascii="Cambria" w:hAnsi="Cambria" w:cs="Arial"/>
          <w:szCs w:val="24"/>
        </w:rPr>
        <w:t xml:space="preserve"> (Annex 4.3), </w:t>
      </w:r>
      <w:r w:rsidR="0019658C" w:rsidRPr="0019658C">
        <w:rPr>
          <w:rFonts w:ascii="Cambria" w:hAnsi="Cambria" w:cs="Arial"/>
          <w:i/>
          <w:szCs w:val="24"/>
        </w:rPr>
        <w:t>Beneficiaries Satisfaction Survey</w:t>
      </w:r>
      <w:r w:rsidR="0019658C">
        <w:rPr>
          <w:rFonts w:ascii="Cambria" w:hAnsi="Cambria" w:cs="Arial"/>
          <w:szCs w:val="24"/>
        </w:rPr>
        <w:t xml:space="preserve"> (Annex 5.4), and </w:t>
      </w:r>
      <w:r w:rsidR="0019658C" w:rsidRPr="0019658C">
        <w:rPr>
          <w:rFonts w:ascii="Cambria" w:hAnsi="Cambria" w:cs="Arial"/>
          <w:i/>
          <w:szCs w:val="24"/>
        </w:rPr>
        <w:t>Social Media Analysis</w:t>
      </w:r>
      <w:r w:rsidR="0019658C">
        <w:rPr>
          <w:rFonts w:ascii="Cambria" w:hAnsi="Cambria" w:cs="Arial"/>
          <w:szCs w:val="24"/>
        </w:rPr>
        <w:t xml:space="preserve"> (Annex 5.5) rely on proce</w:t>
      </w:r>
      <w:r w:rsidR="0014143F">
        <w:rPr>
          <w:rFonts w:ascii="Cambria" w:hAnsi="Cambria" w:cs="Arial"/>
          <w:szCs w:val="24"/>
        </w:rPr>
        <w:t xml:space="preserve">dures </w:t>
      </w:r>
      <w:r w:rsidR="0019658C">
        <w:rPr>
          <w:rFonts w:ascii="Cambria" w:hAnsi="Cambria" w:cs="Arial"/>
          <w:szCs w:val="24"/>
        </w:rPr>
        <w:t xml:space="preserve">commanded by software. </w:t>
      </w:r>
      <w:r w:rsidR="00436A4D">
        <w:rPr>
          <w:rFonts w:ascii="Cambria" w:hAnsi="Cambria" w:cs="Arial"/>
        </w:rPr>
        <w:t xml:space="preserve">In combination with the </w:t>
      </w:r>
      <w:r w:rsidR="00BF1429">
        <w:rPr>
          <w:rFonts w:ascii="Cambria" w:hAnsi="Cambria" w:cs="Arial"/>
        </w:rPr>
        <w:t>guide for each a</w:t>
      </w:r>
      <w:r w:rsidR="00436A4D">
        <w:rPr>
          <w:rFonts w:ascii="Cambria" w:hAnsi="Cambria" w:cs="Arial"/>
        </w:rPr>
        <w:t xml:space="preserve">pplication, a very clear understanding of the respective method, which </w:t>
      </w:r>
      <w:r w:rsidR="00C03F59">
        <w:rPr>
          <w:rFonts w:ascii="Cambria" w:hAnsi="Cambria" w:cs="Arial"/>
        </w:rPr>
        <w:t xml:space="preserve">is implemented by </w:t>
      </w:r>
      <w:r w:rsidR="00436A4D">
        <w:rPr>
          <w:rFonts w:ascii="Cambria" w:hAnsi="Cambria" w:cs="Arial"/>
        </w:rPr>
        <w:t xml:space="preserve">software, is obtained. There is no space of fuzzy definitions or misunderstanding on data and calculus. Moreover, </w:t>
      </w:r>
      <w:r w:rsidR="0014143F">
        <w:rPr>
          <w:rFonts w:ascii="Cambria" w:hAnsi="Cambria" w:cs="Arial"/>
        </w:rPr>
        <w:t xml:space="preserve">when </w:t>
      </w:r>
      <w:r w:rsidR="00303E17">
        <w:rPr>
          <w:rFonts w:ascii="Cambria" w:hAnsi="Cambria" w:cs="Arial"/>
        </w:rPr>
        <w:t>applications are open source</w:t>
      </w:r>
      <w:r w:rsidR="0014143F">
        <w:rPr>
          <w:rFonts w:ascii="Cambria" w:hAnsi="Cambria" w:cs="Arial"/>
        </w:rPr>
        <w:t xml:space="preserve"> – as happens in OnlineS3 -</w:t>
      </w:r>
      <w:r w:rsidR="00303E17">
        <w:rPr>
          <w:rFonts w:ascii="Cambria" w:hAnsi="Cambria" w:cs="Arial"/>
        </w:rPr>
        <w:t xml:space="preserve"> and the code is available on the Github, there is total tr</w:t>
      </w:r>
      <w:r w:rsidR="00436A4D">
        <w:rPr>
          <w:rFonts w:ascii="Cambria" w:hAnsi="Cambria" w:cs="Arial"/>
        </w:rPr>
        <w:t xml:space="preserve">ansparency how calculations are set and results are produced.  </w:t>
      </w:r>
    </w:p>
    <w:p w:rsidR="00BF1429" w:rsidRDefault="00BF1429" w:rsidP="00303E17">
      <w:pPr>
        <w:spacing w:after="0" w:line="240" w:lineRule="auto"/>
        <w:rPr>
          <w:rFonts w:ascii="Cambria" w:hAnsi="Cambria" w:cs="Arial"/>
        </w:rPr>
      </w:pPr>
    </w:p>
    <w:p w:rsidR="00B207E6" w:rsidRPr="00B207E6" w:rsidRDefault="00436A4D" w:rsidP="002624A7">
      <w:pPr>
        <w:spacing w:after="0" w:line="240" w:lineRule="auto"/>
        <w:jc w:val="both"/>
        <w:rPr>
          <w:rFonts w:ascii="Cambria" w:hAnsi="Cambria" w:cs="Arial"/>
        </w:rPr>
      </w:pPr>
      <w:r>
        <w:rPr>
          <w:rFonts w:ascii="Cambria" w:hAnsi="Cambria" w:cs="Arial"/>
        </w:rPr>
        <w:t xml:space="preserve">Standardisation </w:t>
      </w:r>
      <w:r w:rsidR="00BF1429">
        <w:rPr>
          <w:rFonts w:ascii="Cambria" w:hAnsi="Cambria" w:cs="Arial"/>
        </w:rPr>
        <w:t>is also a direct outcome of using software for method’s implement</w:t>
      </w:r>
      <w:r w:rsidR="001840F4">
        <w:rPr>
          <w:rFonts w:ascii="Cambria" w:hAnsi="Cambria" w:cs="Arial"/>
        </w:rPr>
        <w:t>ation. The benefits of process</w:t>
      </w:r>
      <w:r w:rsidR="00BF1429">
        <w:rPr>
          <w:rFonts w:ascii="Cambria" w:hAnsi="Cambria" w:cs="Arial"/>
        </w:rPr>
        <w:t xml:space="preserve"> standardisation are </w:t>
      </w:r>
      <w:r w:rsidR="0077457D">
        <w:rPr>
          <w:rFonts w:ascii="Cambria" w:hAnsi="Cambria" w:cs="Arial"/>
        </w:rPr>
        <w:t xml:space="preserve">extensively discussed </w:t>
      </w:r>
      <w:r w:rsidR="00BF1429">
        <w:rPr>
          <w:rFonts w:ascii="Cambria" w:hAnsi="Cambria" w:cs="Arial"/>
        </w:rPr>
        <w:t xml:space="preserve">(Kuhlang et al., 2011; Ash and Burn, 2003; Stevens and Dimitriadis, 2005). </w:t>
      </w:r>
      <w:r w:rsidR="0077457D">
        <w:rPr>
          <w:rFonts w:ascii="Cambria" w:hAnsi="Cambria" w:cs="Arial"/>
        </w:rPr>
        <w:t xml:space="preserve">There is improvement in technical communication and understanding, facilitation in exchange of know-how and easy technology transfer and learning, </w:t>
      </w:r>
      <w:r w:rsidR="00B207E6" w:rsidRPr="00B207E6">
        <w:rPr>
          <w:rFonts w:ascii="Cambria" w:hAnsi="Cambria" w:cs="Arial"/>
        </w:rPr>
        <w:t xml:space="preserve">establishing </w:t>
      </w:r>
      <w:r w:rsidR="0077457D">
        <w:rPr>
          <w:rFonts w:ascii="Cambria" w:hAnsi="Cambria" w:cs="Arial"/>
        </w:rPr>
        <w:t xml:space="preserve">of best practice </w:t>
      </w:r>
      <w:r w:rsidR="00B207E6" w:rsidRPr="00B207E6">
        <w:rPr>
          <w:rFonts w:ascii="Cambria" w:hAnsi="Cambria" w:cs="Arial"/>
        </w:rPr>
        <w:t>how to carry out a process</w:t>
      </w:r>
      <w:r w:rsidR="0077457D">
        <w:rPr>
          <w:rFonts w:ascii="Cambria" w:hAnsi="Cambria" w:cs="Arial"/>
        </w:rPr>
        <w:t xml:space="preserve">. All these </w:t>
      </w:r>
      <w:r w:rsidR="001840F4">
        <w:rPr>
          <w:rFonts w:ascii="Cambria" w:hAnsi="Cambria" w:cs="Arial"/>
        </w:rPr>
        <w:t xml:space="preserve">improvements </w:t>
      </w:r>
      <w:r w:rsidR="0077457D">
        <w:rPr>
          <w:rFonts w:ascii="Cambria" w:hAnsi="Cambria" w:cs="Arial"/>
        </w:rPr>
        <w:t>are translated to easier onboarding</w:t>
      </w:r>
      <w:r w:rsidR="001840F4">
        <w:rPr>
          <w:rFonts w:ascii="Cambria" w:hAnsi="Cambria" w:cs="Arial"/>
        </w:rPr>
        <w:t>. H</w:t>
      </w:r>
      <w:r w:rsidR="0077457D">
        <w:rPr>
          <w:rFonts w:ascii="Cambria" w:hAnsi="Cambria" w:cs="Arial"/>
        </w:rPr>
        <w:t xml:space="preserve">aving a standard way of doing something, it becomes easier to transfer this knowledge. Standardising best practice and most efficient processes, higher </w:t>
      </w:r>
      <w:r w:rsidR="00B207E6" w:rsidRPr="00B207E6">
        <w:rPr>
          <w:rFonts w:ascii="Cambria" w:hAnsi="Cambria" w:cs="Arial"/>
        </w:rPr>
        <w:t xml:space="preserve">productivity </w:t>
      </w:r>
      <w:r w:rsidR="0077457D">
        <w:rPr>
          <w:rFonts w:ascii="Cambria" w:hAnsi="Cambria" w:cs="Arial"/>
        </w:rPr>
        <w:t xml:space="preserve">spreads </w:t>
      </w:r>
      <w:r w:rsidR="00B207E6" w:rsidRPr="00B207E6">
        <w:rPr>
          <w:rFonts w:ascii="Cambria" w:hAnsi="Cambria" w:cs="Arial"/>
        </w:rPr>
        <w:t xml:space="preserve">across </w:t>
      </w:r>
      <w:r w:rsidR="00C03F59">
        <w:rPr>
          <w:rFonts w:ascii="Cambria" w:hAnsi="Cambria" w:cs="Arial"/>
        </w:rPr>
        <w:t xml:space="preserve">an </w:t>
      </w:r>
      <w:r w:rsidR="00B207E6" w:rsidRPr="00B207E6">
        <w:rPr>
          <w:rFonts w:ascii="Cambria" w:hAnsi="Cambria" w:cs="Arial"/>
        </w:rPr>
        <w:t>organization.</w:t>
      </w:r>
      <w:r w:rsidR="0077457D">
        <w:rPr>
          <w:rFonts w:ascii="Cambria" w:hAnsi="Cambria" w:cs="Arial"/>
        </w:rPr>
        <w:t xml:space="preserve"> </w:t>
      </w:r>
    </w:p>
    <w:p w:rsidR="00B207E6" w:rsidRPr="00B207E6" w:rsidRDefault="00B207E6" w:rsidP="00B207E6">
      <w:pPr>
        <w:spacing w:after="0" w:line="240" w:lineRule="auto"/>
        <w:rPr>
          <w:rFonts w:ascii="Cambria" w:hAnsi="Cambria" w:cs="Arial"/>
        </w:rPr>
      </w:pPr>
    </w:p>
    <w:p w:rsidR="001840F4" w:rsidRDefault="00C03F59" w:rsidP="002624A7">
      <w:pPr>
        <w:spacing w:after="0" w:line="240" w:lineRule="auto"/>
        <w:jc w:val="both"/>
        <w:rPr>
          <w:rFonts w:ascii="Cambria" w:hAnsi="Cambria" w:cs="Arial"/>
          <w:szCs w:val="24"/>
        </w:rPr>
      </w:pPr>
      <w:r>
        <w:rPr>
          <w:rFonts w:ascii="Cambria" w:hAnsi="Cambria" w:cs="Arial"/>
          <w:szCs w:val="24"/>
        </w:rPr>
        <w:lastRenderedPageBreak/>
        <w:t xml:space="preserve">Moreover, </w:t>
      </w:r>
      <w:r w:rsidR="001840F4">
        <w:rPr>
          <w:rFonts w:ascii="Cambria" w:hAnsi="Cambria" w:cs="Arial"/>
          <w:szCs w:val="24"/>
        </w:rPr>
        <w:t xml:space="preserve">through software applications </w:t>
      </w:r>
      <w:r w:rsidR="00685C06" w:rsidRPr="00685C06">
        <w:rPr>
          <w:rFonts w:ascii="Cambria" w:hAnsi="Cambria" w:cs="Arial"/>
          <w:szCs w:val="24"/>
        </w:rPr>
        <w:t>complex methods</w:t>
      </w:r>
      <w:r w:rsidR="0019658C">
        <w:rPr>
          <w:rFonts w:ascii="Cambria" w:hAnsi="Cambria" w:cs="Arial"/>
          <w:szCs w:val="24"/>
        </w:rPr>
        <w:t xml:space="preserve"> </w:t>
      </w:r>
      <w:r>
        <w:rPr>
          <w:rFonts w:ascii="Cambria" w:hAnsi="Cambria" w:cs="Arial"/>
          <w:szCs w:val="24"/>
        </w:rPr>
        <w:t xml:space="preserve">or </w:t>
      </w:r>
      <w:r w:rsidR="001840F4">
        <w:rPr>
          <w:rFonts w:ascii="Cambria" w:hAnsi="Cambria" w:cs="Arial"/>
          <w:szCs w:val="24"/>
        </w:rPr>
        <w:t xml:space="preserve">use of </w:t>
      </w:r>
      <w:r>
        <w:rPr>
          <w:rFonts w:ascii="Cambria" w:hAnsi="Cambria" w:cs="Arial"/>
          <w:szCs w:val="24"/>
        </w:rPr>
        <w:t>sophisticated procedures becomes feasible</w:t>
      </w:r>
      <w:r w:rsidR="001840F4">
        <w:rPr>
          <w:rFonts w:ascii="Cambria" w:hAnsi="Cambria" w:cs="Arial"/>
          <w:szCs w:val="24"/>
        </w:rPr>
        <w:t>, even by non-experts</w:t>
      </w:r>
      <w:r>
        <w:rPr>
          <w:rFonts w:ascii="Cambria" w:hAnsi="Cambria" w:cs="Arial"/>
          <w:szCs w:val="24"/>
        </w:rPr>
        <w:t>. As know how is transferred from person</w:t>
      </w:r>
      <w:r w:rsidR="001840F4">
        <w:rPr>
          <w:rFonts w:ascii="Cambria" w:hAnsi="Cambria" w:cs="Arial"/>
          <w:szCs w:val="24"/>
        </w:rPr>
        <w:t>s to</w:t>
      </w:r>
      <w:r>
        <w:rPr>
          <w:rFonts w:ascii="Cambria" w:hAnsi="Cambria" w:cs="Arial"/>
          <w:szCs w:val="24"/>
        </w:rPr>
        <w:t xml:space="preserve"> machine</w:t>
      </w:r>
      <w:r w:rsidR="001840F4">
        <w:rPr>
          <w:rFonts w:ascii="Cambria" w:hAnsi="Cambria" w:cs="Arial"/>
          <w:szCs w:val="24"/>
        </w:rPr>
        <w:t>s</w:t>
      </w:r>
      <w:r>
        <w:rPr>
          <w:rFonts w:ascii="Cambria" w:hAnsi="Cambria" w:cs="Arial"/>
          <w:szCs w:val="24"/>
        </w:rPr>
        <w:t>, software application</w:t>
      </w:r>
      <w:r w:rsidR="001840F4">
        <w:rPr>
          <w:rFonts w:ascii="Cambria" w:hAnsi="Cambria" w:cs="Arial"/>
          <w:szCs w:val="24"/>
        </w:rPr>
        <w:t>s</w:t>
      </w:r>
      <w:r>
        <w:rPr>
          <w:rFonts w:ascii="Cambria" w:hAnsi="Cambria" w:cs="Arial"/>
          <w:szCs w:val="24"/>
        </w:rPr>
        <w:t xml:space="preserve"> in </w:t>
      </w:r>
      <w:r w:rsidR="001840F4">
        <w:rPr>
          <w:rFonts w:ascii="Cambria" w:hAnsi="Cambria" w:cs="Arial"/>
          <w:szCs w:val="24"/>
        </w:rPr>
        <w:t xml:space="preserve">the </w:t>
      </w:r>
      <w:r>
        <w:rPr>
          <w:rFonts w:ascii="Cambria" w:hAnsi="Cambria" w:cs="Arial"/>
          <w:szCs w:val="24"/>
        </w:rPr>
        <w:t>case</w:t>
      </w:r>
      <w:r w:rsidR="001840F4">
        <w:rPr>
          <w:rFonts w:ascii="Cambria" w:hAnsi="Cambria" w:cs="Arial"/>
          <w:szCs w:val="24"/>
        </w:rPr>
        <w:t xml:space="preserve"> of RIS3</w:t>
      </w:r>
      <w:r>
        <w:rPr>
          <w:rFonts w:ascii="Cambria" w:hAnsi="Cambria" w:cs="Arial"/>
          <w:szCs w:val="24"/>
        </w:rPr>
        <w:t xml:space="preserve">, the effort needed for </w:t>
      </w:r>
      <w:r w:rsidR="001840F4">
        <w:rPr>
          <w:rFonts w:ascii="Cambria" w:hAnsi="Cambria" w:cs="Arial"/>
          <w:szCs w:val="24"/>
        </w:rPr>
        <w:t xml:space="preserve">the </w:t>
      </w:r>
      <w:r>
        <w:rPr>
          <w:rFonts w:ascii="Cambria" w:hAnsi="Cambria" w:cs="Arial"/>
          <w:szCs w:val="24"/>
        </w:rPr>
        <w:t xml:space="preserve">implementation </w:t>
      </w:r>
      <w:r w:rsidR="001840F4">
        <w:rPr>
          <w:rFonts w:ascii="Cambria" w:hAnsi="Cambria" w:cs="Arial"/>
          <w:szCs w:val="24"/>
        </w:rPr>
        <w:t xml:space="preserve">of methods </w:t>
      </w:r>
      <w:r>
        <w:rPr>
          <w:rFonts w:ascii="Cambria" w:hAnsi="Cambria" w:cs="Arial"/>
          <w:szCs w:val="24"/>
        </w:rPr>
        <w:t xml:space="preserve">is minimized. The machine takes over </w:t>
      </w:r>
      <w:r w:rsidR="001840F4">
        <w:rPr>
          <w:rFonts w:ascii="Cambria" w:hAnsi="Cambria" w:cs="Arial"/>
          <w:szCs w:val="24"/>
        </w:rPr>
        <w:t xml:space="preserve">and replaces </w:t>
      </w:r>
      <w:r>
        <w:rPr>
          <w:rFonts w:ascii="Cambria" w:hAnsi="Cambria" w:cs="Arial"/>
          <w:szCs w:val="24"/>
        </w:rPr>
        <w:t>the complexity of the inte</w:t>
      </w:r>
      <w:r w:rsidR="001840F4">
        <w:rPr>
          <w:rFonts w:ascii="Cambria" w:hAnsi="Cambria" w:cs="Arial"/>
          <w:szCs w:val="24"/>
        </w:rPr>
        <w:t>rnal process</w:t>
      </w:r>
      <w:r>
        <w:rPr>
          <w:rFonts w:ascii="Cambria" w:hAnsi="Cambria" w:cs="Arial"/>
          <w:szCs w:val="24"/>
        </w:rPr>
        <w:t xml:space="preserve"> </w:t>
      </w:r>
      <w:r w:rsidR="001840F4">
        <w:rPr>
          <w:rFonts w:ascii="Cambria" w:hAnsi="Cambria" w:cs="Arial"/>
          <w:szCs w:val="24"/>
        </w:rPr>
        <w:t xml:space="preserve">by an </w:t>
      </w:r>
      <w:r>
        <w:rPr>
          <w:rFonts w:ascii="Cambria" w:hAnsi="Cambria" w:cs="Arial"/>
          <w:szCs w:val="24"/>
        </w:rPr>
        <w:t xml:space="preserve">algorithmic </w:t>
      </w:r>
      <w:r w:rsidR="001840F4">
        <w:rPr>
          <w:rFonts w:ascii="Cambria" w:hAnsi="Cambria" w:cs="Arial"/>
          <w:szCs w:val="24"/>
        </w:rPr>
        <w:t xml:space="preserve">sequence. The problem is solved at </w:t>
      </w:r>
      <w:r>
        <w:rPr>
          <w:rFonts w:ascii="Cambria" w:hAnsi="Cambria" w:cs="Arial"/>
          <w:szCs w:val="24"/>
        </w:rPr>
        <w:t xml:space="preserve">the stage of software design and development. </w:t>
      </w:r>
      <w:r w:rsidR="001840F4">
        <w:rPr>
          <w:rFonts w:ascii="Cambria" w:hAnsi="Cambria" w:cs="Arial"/>
          <w:szCs w:val="24"/>
        </w:rPr>
        <w:t>Then</w:t>
      </w:r>
      <w:r>
        <w:rPr>
          <w:rFonts w:ascii="Cambria" w:hAnsi="Cambria" w:cs="Arial"/>
          <w:szCs w:val="24"/>
        </w:rPr>
        <w:t xml:space="preserve">, complexity is replaced by repetition. </w:t>
      </w:r>
    </w:p>
    <w:p w:rsidR="001840F4" w:rsidRDefault="001840F4" w:rsidP="0019658C">
      <w:pPr>
        <w:spacing w:after="0" w:line="240" w:lineRule="auto"/>
        <w:rPr>
          <w:rFonts w:ascii="Cambria" w:hAnsi="Cambria" w:cs="Arial"/>
          <w:szCs w:val="24"/>
        </w:rPr>
      </w:pPr>
    </w:p>
    <w:p w:rsidR="0019658C" w:rsidRPr="00685C06" w:rsidRDefault="00140887" w:rsidP="0014143F">
      <w:pPr>
        <w:spacing w:after="0" w:line="240" w:lineRule="auto"/>
        <w:jc w:val="both"/>
        <w:rPr>
          <w:rFonts w:ascii="Cambria" w:hAnsi="Cambria" w:cs="Arial"/>
          <w:szCs w:val="24"/>
        </w:rPr>
      </w:pPr>
      <w:r>
        <w:rPr>
          <w:rFonts w:ascii="Cambria" w:hAnsi="Cambria" w:cs="Arial"/>
          <w:szCs w:val="24"/>
        </w:rPr>
        <w:t>Using</w:t>
      </w:r>
      <w:r w:rsidR="001840F4">
        <w:rPr>
          <w:rFonts w:ascii="Cambria" w:hAnsi="Cambria" w:cs="Arial"/>
          <w:szCs w:val="24"/>
        </w:rPr>
        <w:t xml:space="preserve"> software applications, RIS3 methodologies obtain </w:t>
      </w:r>
      <w:r w:rsidR="00C03F59">
        <w:rPr>
          <w:rFonts w:ascii="Cambria" w:hAnsi="Cambria" w:cs="Arial"/>
          <w:szCs w:val="24"/>
        </w:rPr>
        <w:t>transparency</w:t>
      </w:r>
      <w:r w:rsidR="001840F4">
        <w:rPr>
          <w:rFonts w:ascii="Cambria" w:hAnsi="Cambria" w:cs="Arial"/>
          <w:szCs w:val="24"/>
        </w:rPr>
        <w:t xml:space="preserve">; access become easier; and </w:t>
      </w:r>
      <w:r w:rsidR="00C03F59">
        <w:rPr>
          <w:rFonts w:ascii="Cambria" w:hAnsi="Cambria" w:cs="Arial"/>
          <w:szCs w:val="24"/>
        </w:rPr>
        <w:t>productivity</w:t>
      </w:r>
      <w:r w:rsidR="001840F4">
        <w:rPr>
          <w:rFonts w:ascii="Cambria" w:hAnsi="Cambria" w:cs="Arial"/>
          <w:szCs w:val="24"/>
        </w:rPr>
        <w:t xml:space="preserve"> gains reduce the effort needed for a state-of-the-art strategy design. </w:t>
      </w:r>
    </w:p>
    <w:p w:rsidR="00C03F59" w:rsidRDefault="00C03F59" w:rsidP="0030720F">
      <w:pPr>
        <w:spacing w:after="120" w:line="240" w:lineRule="auto"/>
        <w:jc w:val="both"/>
        <w:rPr>
          <w:rFonts w:ascii="Cambria" w:hAnsi="Cambria" w:cs="Arial"/>
          <w:b/>
          <w:color w:val="0070C0"/>
        </w:rPr>
      </w:pPr>
    </w:p>
    <w:p w:rsidR="006554D9" w:rsidRPr="00761DF1" w:rsidRDefault="006554D9" w:rsidP="0030720F">
      <w:pPr>
        <w:spacing w:after="120" w:line="240" w:lineRule="auto"/>
        <w:jc w:val="both"/>
        <w:rPr>
          <w:rFonts w:ascii="Cambria" w:hAnsi="Cambria" w:cs="Arial"/>
          <w:b/>
        </w:rPr>
      </w:pPr>
      <w:r w:rsidRPr="00761DF1">
        <w:rPr>
          <w:rFonts w:ascii="Cambria" w:hAnsi="Cambria" w:cs="Arial"/>
          <w:b/>
        </w:rPr>
        <w:t xml:space="preserve">The significance of RIS3 </w:t>
      </w:r>
      <w:r w:rsidR="00323609" w:rsidRPr="00761DF1">
        <w:rPr>
          <w:rFonts w:ascii="Cambria" w:hAnsi="Cambria" w:cs="Arial"/>
          <w:b/>
        </w:rPr>
        <w:t xml:space="preserve">participatory </w:t>
      </w:r>
      <w:r w:rsidRPr="00761DF1">
        <w:rPr>
          <w:rFonts w:ascii="Cambria" w:hAnsi="Cambria" w:cs="Arial"/>
          <w:b/>
        </w:rPr>
        <w:t>model</w:t>
      </w:r>
    </w:p>
    <w:p w:rsidR="006554D9" w:rsidRPr="00B044E4" w:rsidRDefault="006554D9"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 xml:space="preserve">Given the social significance of the </w:t>
      </w:r>
      <w:r w:rsidR="00F25C4D" w:rsidRPr="00B044E4">
        <w:rPr>
          <w:rFonts w:ascii="Cambria" w:hAnsi="Cambria" w:cs="Arial"/>
        </w:rPr>
        <w:t xml:space="preserve">Triple and Quadruple helix </w:t>
      </w:r>
      <w:r w:rsidRPr="00B044E4">
        <w:rPr>
          <w:rFonts w:ascii="Cambria" w:hAnsi="Cambria" w:cs="Arial"/>
        </w:rPr>
        <w:t xml:space="preserve">models and especially the weight they each put on the democracy of this participatory governance, merely caricaturing the division between the Triple and Quadruple helix as the difference between say, the proprietary systems of knowledge economy and participatory governance of civil society, would do them an injustice. As would any suggestion either one of them is sufficiently powerful to bridge such a deeply rooted division by themselves. For any such claim would merely serve to exemplify how the ambiguities currently surrounding the entrepreneurial discovery of research and innovation strategies, not only run the risk of misrepresenting what Smart Specialisation is, but also ignoring the real consequences of the prioritizations selected to serve a knowledge economy whose deeply rooted social divisions bring any notion of reflexive control, democracy and user-communities in a participatory governance of science and technology to the fore. </w:t>
      </w:r>
    </w:p>
    <w:p w:rsidR="006554D9" w:rsidRPr="00B044E4" w:rsidRDefault="006554D9" w:rsidP="00CA379D">
      <w:pPr>
        <w:widowControl w:val="0"/>
        <w:autoSpaceDE w:val="0"/>
        <w:autoSpaceDN w:val="0"/>
        <w:adjustRightInd w:val="0"/>
        <w:spacing w:after="0" w:line="240" w:lineRule="auto"/>
        <w:jc w:val="both"/>
        <w:rPr>
          <w:rFonts w:ascii="Cambria" w:hAnsi="Cambria" w:cs="Arial"/>
          <w:color w:val="800000"/>
        </w:rPr>
      </w:pPr>
    </w:p>
    <w:p w:rsidR="006554D9" w:rsidRPr="00B044E4" w:rsidRDefault="006554D9"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 xml:space="preserve">The reason for uncovering the division in the Triple and Quadruple-Helix models is not to capture any errors in the conceptual schemas they advance in relation to the entrepreneurial discovery, or how research and innovation affect Smart Specialisation Strategies. It is instead done to reveal the deeply-rooted social division underlying all of this and which surfaces as a lack of public trust in the participatory governance of science and technology, and attempts made to meet the democratic deficit associated with any reflexive control of the wealth created from organized knowledge production. In that sense, the lack of public trust in the EPD and democratic deficit in Smart Specialisation Strategies, which make up any claim about the participatory governance of user-communities in science and technology. Moreover, and in spite of what the Triple and Quadruple-helix models both claim, that transgression of public trust and deficit in democracy, which user-communities perceive as the outcome of that reflexive control which is regressive, because of how Smart Specialisation prioritizes research and innovation as entrepreneurial discoveries related to the organization of a knowledge production whose economy is only able to sustain regional growth at the expense of civil society.  </w:t>
      </w:r>
    </w:p>
    <w:p w:rsidR="006554D9" w:rsidRPr="00B044E4" w:rsidRDefault="006554D9" w:rsidP="00CA379D">
      <w:pPr>
        <w:widowControl w:val="0"/>
        <w:autoSpaceDE w:val="0"/>
        <w:autoSpaceDN w:val="0"/>
        <w:adjustRightInd w:val="0"/>
        <w:spacing w:after="0" w:line="240" w:lineRule="auto"/>
        <w:jc w:val="both"/>
        <w:rPr>
          <w:rFonts w:ascii="Cambria" w:hAnsi="Cambria" w:cs="Arial"/>
        </w:rPr>
      </w:pPr>
    </w:p>
    <w:p w:rsidR="006554D9" w:rsidRPr="00B044E4" w:rsidRDefault="006554D9"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Given the weight of significance which the statement: “at the expense of civil society” takes as a reflexive control that transgresses public trust and which results in a democratic deficit believed to be regressive, it is a matter that not only warrants further examination, but which also calls for additional consideration. Not only because at first sight this lack of public trust is exactly what the Quadruple Helix is understood to offer as that knowledge economy which meets the governance challenge the Triple Helix leaves unresolved, but for the reason a closer examination of the Triple Helix model does also bring this democratic deficit reading of the transition from the Triple to Quadruple Helix into question (Lombardi et al., 2011; Kourtit et al., 2013; Leydesdorff and Deakin, 2013). For what such a deficit reading of the transition tends to ignore is the fact those advancing the Triple Helix model</w:t>
      </w:r>
      <w:r w:rsidRPr="00B044E4">
        <w:rPr>
          <w:rFonts w:ascii="Cambria" w:hAnsi="Cambria" w:cs="Arial"/>
          <w:color w:val="800000"/>
        </w:rPr>
        <w:t xml:space="preserve"> </w:t>
      </w:r>
      <w:r w:rsidRPr="00B044E4">
        <w:rPr>
          <w:rFonts w:ascii="Cambria" w:hAnsi="Cambria" w:cs="Arial"/>
        </w:rPr>
        <w:t>do meet the governance challenge without putting so much critical distance between the intellectual capital of organized knowledge production (Deakin, 2014; Deakin, 2015; Deakin and Reid, 2016; Deakin, 2018) and that democratization of the public which the Quadruple Helix calls for. That democratization of the public which it calls for as a basis for user-communities to gain trust and clear any deficit by participating in the governance of science and technology as members of civil society (</w:t>
      </w:r>
      <w:r w:rsidRPr="00B044E4">
        <w:rPr>
          <w:rFonts w:ascii="Cambria" w:eastAsia="Times New Roman" w:hAnsi="Cambria" w:cs="Arial"/>
          <w:bCs/>
        </w:rPr>
        <w:t>Carayannis</w:t>
      </w:r>
      <w:r w:rsidRPr="00B044E4">
        <w:rPr>
          <w:rFonts w:ascii="Cambria" w:eastAsia="Times New Roman" w:hAnsi="Cambria" w:cs="Arial"/>
        </w:rPr>
        <w:t xml:space="preserve"> and Campbell, </w:t>
      </w:r>
      <w:r w:rsidRPr="00B044E4">
        <w:rPr>
          <w:rFonts w:ascii="Cambria" w:eastAsia="Times New Roman" w:hAnsi="Cambria" w:cs="Arial"/>
          <w:shd w:val="clear" w:color="auto" w:fill="FFFFFF"/>
        </w:rPr>
        <w:lastRenderedPageBreak/>
        <w:t>2012; 2014; 2017)</w:t>
      </w:r>
      <w:r w:rsidRPr="00B044E4">
        <w:rPr>
          <w:rFonts w:ascii="Cambria" w:hAnsi="Cambria" w:cs="Arial"/>
        </w:rPr>
        <w:t xml:space="preserve">. </w:t>
      </w:r>
    </w:p>
    <w:p w:rsidR="006554D9" w:rsidRPr="00B044E4" w:rsidRDefault="006554D9" w:rsidP="00CA379D">
      <w:pPr>
        <w:widowControl w:val="0"/>
        <w:autoSpaceDE w:val="0"/>
        <w:autoSpaceDN w:val="0"/>
        <w:adjustRightInd w:val="0"/>
        <w:spacing w:after="0" w:line="240" w:lineRule="auto"/>
        <w:jc w:val="both"/>
        <w:rPr>
          <w:rFonts w:ascii="Cambria" w:hAnsi="Cambria" w:cs="Arial"/>
        </w:rPr>
      </w:pPr>
    </w:p>
    <w:p w:rsidR="006554D9" w:rsidRPr="00B044E4" w:rsidRDefault="006554D9"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 xml:space="preserve">For what those championing such a “Advanced Triple Helix” are fully conscious of is that neither any democratization of the public, nor user-communities which participate in the governance of science and technology, are the exclusive property of any social ecology this media cultivates, but instead attributes of that intellectual capital which underlies the organization of knowledge production and that surfaces in the economy of a wealth creation which this governance exerts reflexive control over. Which this governance exerts reflexive control over and that calls, not so much for the addition of another helix dedicated to any democratization of the public, but instead an extension of the Triple Helix model’s reach from the intellectual capital of organized knowledge production out into the economics of wealth creation. Not just in terms of that entrepreneurial discovery which underpins the research and innovation of any emergent “knowledge economy”, but as a process that also supports the priorities of such a Smart Specialisation as a platform for the reflexive control of this democratization by the public as user-communities. Furthermore, by the public as user-communities which participate in the governance of science and technology and in a manner that does serve to clear any deficit in the system. </w:t>
      </w:r>
    </w:p>
    <w:p w:rsidR="006554D9" w:rsidRPr="00B044E4" w:rsidRDefault="006554D9" w:rsidP="00CA379D">
      <w:pPr>
        <w:widowControl w:val="0"/>
        <w:autoSpaceDE w:val="0"/>
        <w:autoSpaceDN w:val="0"/>
        <w:adjustRightInd w:val="0"/>
        <w:spacing w:after="0" w:line="240" w:lineRule="auto"/>
        <w:jc w:val="both"/>
        <w:rPr>
          <w:rFonts w:ascii="Cambria" w:hAnsi="Cambria" w:cs="Arial"/>
        </w:rPr>
      </w:pPr>
    </w:p>
    <w:p w:rsidR="006554D9" w:rsidRPr="00B044E4" w:rsidRDefault="006554D9"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This way, vis-à-vis by way of the emergent properties of an entrepreneurial discovery process underpinning research and innovation and through the organization of knowledge production into an economy supporting this process wealth creation, it does become possible for the priorities such a Smart Specialisation sets to act as a platform of reflexive control. In particular, that reflexive control which the public would not otherwise possess as user-communities and for the reason that for all intents and purposes, they lack the intellectual capital of organized  knowledge production as a platform for the process of wealth creation to democratize the knowledge economy. That is, to democratize the knowledge economy as the public of those user-communities, which do possess the means, vis-a-vis “wealth of intellect” needed to participate in the governance of science and technology, not only as special interest groups, but as members of civil society with the “wisdom of the crowd” also required for them to sustain regional growth.</w:t>
      </w:r>
    </w:p>
    <w:p w:rsidR="006554D9" w:rsidRPr="00B044E4" w:rsidRDefault="006554D9" w:rsidP="00CA379D">
      <w:pPr>
        <w:widowControl w:val="0"/>
        <w:autoSpaceDE w:val="0"/>
        <w:autoSpaceDN w:val="0"/>
        <w:adjustRightInd w:val="0"/>
        <w:spacing w:after="0" w:line="240" w:lineRule="auto"/>
        <w:jc w:val="both"/>
        <w:rPr>
          <w:rFonts w:ascii="Cambria" w:hAnsi="Cambria" w:cs="Arial"/>
        </w:rPr>
      </w:pPr>
    </w:p>
    <w:p w:rsidR="006554D9" w:rsidRPr="00B044E4" w:rsidRDefault="006554D9" w:rsidP="00CA379D">
      <w:pPr>
        <w:widowControl w:val="0"/>
        <w:autoSpaceDE w:val="0"/>
        <w:autoSpaceDN w:val="0"/>
        <w:adjustRightInd w:val="0"/>
        <w:spacing w:after="0" w:line="240" w:lineRule="auto"/>
        <w:jc w:val="both"/>
        <w:rPr>
          <w:rFonts w:ascii="Cambria" w:hAnsi="Cambria" w:cs="Arial"/>
        </w:rPr>
      </w:pPr>
      <w:r w:rsidRPr="00B044E4">
        <w:rPr>
          <w:rFonts w:ascii="Cambria" w:hAnsi="Cambria" w:cs="Arial"/>
        </w:rPr>
        <w:t xml:space="preserve">This, the authors suggest, is the only way it is possible to get any equivalence between the entrepreneurial discovery process of the research and innovation strategies championed by the Triple and Quadruple Helix models of Smart Specialisation, not as a transgression of public trust whose democratic deficit is regressive, but as part of that participatory governance which is progressive. Which is instead progressive by virtue of the fact this Smart Specialisation does not turn on a strategy able to merely inflect some semblance of control over a knowledge economy, but instead demonstrate the reflexivity of that democratization which the public is subject to and user-communities assume to be virtuous. Assume to be virtuous as a consequence of the trust which the public have in the user-communities that participate in the governance of science and technology and potential this Smart Specialisation has to clear the deficit within civil society as part of a bottom-up search for place-based polices whose strategies are able to sustain regional growth. </w:t>
      </w:r>
    </w:p>
    <w:p w:rsidR="00FD13A9" w:rsidRDefault="00FD13A9">
      <w:pPr>
        <w:rPr>
          <w:rFonts w:ascii="Cambria" w:hAnsi="Cambria" w:cs="Times New Roman"/>
          <w:color w:val="0070C0"/>
          <w:sz w:val="32"/>
          <w:szCs w:val="24"/>
        </w:rPr>
      </w:pPr>
      <w:r>
        <w:rPr>
          <w:rFonts w:ascii="Cambria" w:hAnsi="Cambria" w:cs="Times New Roman"/>
          <w:color w:val="0070C0"/>
          <w:sz w:val="32"/>
          <w:szCs w:val="24"/>
        </w:rPr>
        <w:br w:type="page"/>
      </w:r>
    </w:p>
    <w:p w:rsidR="00506EAA" w:rsidRPr="00B044E4" w:rsidRDefault="00506EAA" w:rsidP="00CA379D">
      <w:pPr>
        <w:spacing w:after="0" w:line="240" w:lineRule="auto"/>
        <w:jc w:val="both"/>
        <w:rPr>
          <w:rFonts w:ascii="Cambria" w:hAnsi="Cambria" w:cs="Times New Roman"/>
          <w:color w:val="0070C0"/>
          <w:sz w:val="32"/>
          <w:szCs w:val="24"/>
        </w:rPr>
      </w:pPr>
      <w:r w:rsidRPr="00B044E4">
        <w:rPr>
          <w:rFonts w:ascii="Cambria" w:hAnsi="Cambria" w:cs="Times New Roman"/>
          <w:color w:val="0070C0"/>
          <w:sz w:val="32"/>
          <w:szCs w:val="24"/>
        </w:rPr>
        <w:lastRenderedPageBreak/>
        <w:t xml:space="preserve">References </w:t>
      </w:r>
    </w:p>
    <w:p w:rsidR="00506EAA" w:rsidRPr="00B044E4" w:rsidRDefault="00506EAA" w:rsidP="00CA379D">
      <w:pPr>
        <w:spacing w:after="0" w:line="240" w:lineRule="auto"/>
        <w:jc w:val="both"/>
        <w:rPr>
          <w:rFonts w:ascii="Cambria" w:hAnsi="Cambria" w:cs="Times New Roman"/>
          <w:b/>
          <w:color w:val="000000"/>
        </w:rPr>
      </w:pPr>
    </w:p>
    <w:p w:rsidR="00506EAA" w:rsidRPr="00B044E4" w:rsidRDefault="00726AC2" w:rsidP="00CA379D">
      <w:pPr>
        <w:spacing w:after="0" w:line="240" w:lineRule="auto"/>
        <w:jc w:val="both"/>
        <w:rPr>
          <w:rFonts w:ascii="Cambria" w:hAnsi="Cambria" w:cs="Times New Roman"/>
          <w:b/>
          <w:color w:val="000000"/>
        </w:rPr>
      </w:pPr>
      <w:r w:rsidRPr="00B044E4">
        <w:rPr>
          <w:rFonts w:ascii="Cambria" w:hAnsi="Cambria" w:cs="Times New Roman"/>
          <w:b/>
          <w:color w:val="000000"/>
        </w:rPr>
        <w:t>(</w:t>
      </w:r>
      <w:r w:rsidR="006E05FF" w:rsidRPr="00B044E4">
        <w:rPr>
          <w:rFonts w:ascii="Cambria" w:hAnsi="Cambria" w:cs="Times New Roman"/>
          <w:b/>
          <w:color w:val="000000"/>
        </w:rPr>
        <w:t>Section 1</w:t>
      </w:r>
      <w:r w:rsidRPr="00B044E4">
        <w:rPr>
          <w:rFonts w:ascii="Cambria" w:hAnsi="Cambria" w:cs="Times New Roman"/>
          <w:b/>
          <w:color w:val="000000"/>
        </w:rPr>
        <w:t>)</w:t>
      </w:r>
    </w:p>
    <w:p w:rsidR="006E05FF" w:rsidRPr="00B044E4" w:rsidRDefault="006E05FF" w:rsidP="00CA379D">
      <w:pPr>
        <w:spacing w:after="0" w:line="240" w:lineRule="auto"/>
        <w:jc w:val="both"/>
        <w:rPr>
          <w:rFonts w:ascii="Cambria" w:hAnsi="Cambria" w:cs="Times New Roman"/>
          <w:b/>
          <w:color w:val="000000"/>
        </w:rPr>
      </w:pPr>
    </w:p>
    <w:p w:rsidR="006E05FF" w:rsidRPr="00B044E4" w:rsidRDefault="006E05FF" w:rsidP="00CA379D">
      <w:pPr>
        <w:spacing w:after="0" w:line="240" w:lineRule="auto"/>
        <w:jc w:val="both"/>
        <w:rPr>
          <w:rFonts w:ascii="Cambria" w:hAnsi="Cambria" w:cs="Times New Roman"/>
          <w:b/>
          <w:color w:val="000000"/>
        </w:rPr>
      </w:pPr>
      <w:r w:rsidRPr="00B044E4">
        <w:rPr>
          <w:rFonts w:ascii="Cambria" w:hAnsi="Cambria"/>
        </w:rPr>
        <w:t>Foray et al., (2012). Guide to Research and Innovation Strategies for Smart Specialisation (RIS3). European Commission.</w:t>
      </w:r>
    </w:p>
    <w:p w:rsidR="006E05FF" w:rsidRPr="00B044E4" w:rsidRDefault="006E05FF" w:rsidP="00CA379D">
      <w:pPr>
        <w:spacing w:after="0" w:line="240" w:lineRule="auto"/>
        <w:jc w:val="both"/>
        <w:rPr>
          <w:rFonts w:ascii="Cambria" w:hAnsi="Cambria" w:cs="Times New Roman"/>
          <w:b/>
          <w:color w:val="000000"/>
        </w:rPr>
      </w:pPr>
    </w:p>
    <w:p w:rsidR="006E05FF" w:rsidRPr="00B044E4" w:rsidRDefault="00E3588F" w:rsidP="00CA379D">
      <w:pPr>
        <w:spacing w:after="0" w:line="240" w:lineRule="auto"/>
        <w:jc w:val="both"/>
        <w:rPr>
          <w:rFonts w:ascii="Cambria" w:hAnsi="Cambria" w:cs="Times New Roman"/>
          <w:color w:val="000000"/>
        </w:rPr>
      </w:pPr>
      <w:r w:rsidRPr="00B044E4">
        <w:rPr>
          <w:rFonts w:ascii="Cambria" w:hAnsi="Cambria" w:cs="Times New Roman"/>
          <w:color w:val="000000"/>
        </w:rPr>
        <w:t>Bütschi, D. (2012) PACITA: Knowledge based policy making, Report on the First Parliamentary TA Debate held in Copenhagen on June 18 2012.</w:t>
      </w:r>
    </w:p>
    <w:p w:rsidR="006E05FF" w:rsidRPr="00B044E4" w:rsidRDefault="006E05FF" w:rsidP="00CA379D">
      <w:pPr>
        <w:spacing w:after="0" w:line="240" w:lineRule="auto"/>
        <w:jc w:val="both"/>
        <w:rPr>
          <w:rFonts w:ascii="Cambria" w:hAnsi="Cambria" w:cs="Times New Roman"/>
          <w:b/>
          <w:color w:val="000000"/>
        </w:rPr>
      </w:pPr>
    </w:p>
    <w:p w:rsidR="00506EAA" w:rsidRPr="00B044E4" w:rsidRDefault="00506EAA" w:rsidP="00CA379D">
      <w:pPr>
        <w:spacing w:after="0" w:line="240" w:lineRule="auto"/>
        <w:rPr>
          <w:rFonts w:ascii="Cambria" w:hAnsi="Cambria" w:cs="Times New Roman"/>
          <w:b/>
        </w:rPr>
      </w:pPr>
      <w:r w:rsidRPr="00B044E4">
        <w:rPr>
          <w:rFonts w:ascii="Cambria" w:hAnsi="Cambria" w:cs="Times New Roman"/>
          <w:b/>
        </w:rPr>
        <w:t>(Section 2)</w:t>
      </w:r>
    </w:p>
    <w:p w:rsidR="00506EAA" w:rsidRPr="00B044E4" w:rsidRDefault="00506EAA" w:rsidP="00CA379D">
      <w:pPr>
        <w:spacing w:after="0" w:line="240" w:lineRule="auto"/>
        <w:rPr>
          <w:rFonts w:ascii="Cambria" w:hAnsi="Cambria" w:cs="Times New Roman"/>
        </w:rPr>
      </w:pP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 xml:space="preserve">Fellnhofer, K., 2017. Evidence revisited: Literature on smart specialisation calls for more mixed research designs. </w:t>
      </w:r>
      <w:r w:rsidRPr="00B044E4">
        <w:rPr>
          <w:rFonts w:ascii="Cambria" w:hAnsi="Cambria" w:cs="Times New Roman"/>
          <w:i/>
        </w:rPr>
        <w:t>International Journal of Knowledge-Based Development</w:t>
      </w:r>
      <w:r w:rsidRPr="00B044E4">
        <w:rPr>
          <w:rFonts w:ascii="Cambria" w:hAnsi="Cambria" w:cs="Times New Roman"/>
        </w:rPr>
        <w:t xml:space="preserve"> 8. doi:10.1504/IJKBD.2017.086407</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 xml:space="preserve">Foray, D., 2014. From smart specialisation to smart specialisation policy. </w:t>
      </w:r>
      <w:r w:rsidRPr="00B044E4">
        <w:rPr>
          <w:rFonts w:ascii="Cambria" w:hAnsi="Cambria" w:cs="Times New Roman"/>
          <w:i/>
        </w:rPr>
        <w:t>European Journal of Innovation Management</w:t>
      </w:r>
      <w:r w:rsidRPr="00B044E4">
        <w:rPr>
          <w:rFonts w:ascii="Cambria" w:hAnsi="Cambria" w:cs="Times New Roman"/>
        </w:rPr>
        <w:t xml:space="preserve"> 17, 492–507. doi:10.1108/EJIM-09-2014-0096</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 xml:space="preserve">Gianelle, C., Goenaga, X., Vázquez, I.G., Thissen, M., 2014. Smart specialisation in the tangled web of European inter-regional trade. </w:t>
      </w:r>
      <w:r w:rsidRPr="00B044E4">
        <w:rPr>
          <w:rFonts w:ascii="Cambria" w:hAnsi="Cambria" w:cs="Times New Roman"/>
          <w:i/>
        </w:rPr>
        <w:t>European Journal of Innovation Managemen</w:t>
      </w:r>
      <w:r w:rsidRPr="00B044E4">
        <w:rPr>
          <w:rFonts w:ascii="Cambria" w:hAnsi="Cambria" w:cs="Times New Roman"/>
        </w:rPr>
        <w:t>t 17, 472–491. doi:10.1108/EJIM-10-2013-0113</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Griniece, E., León, L.R., Komninos, N., Panori–URENIO, A., Panori, A., 2017. State of the art report on methodologies and online tools for smart specialisation strategies.</w:t>
      </w:r>
    </w:p>
    <w:p w:rsidR="001A6196" w:rsidRPr="00B044E4" w:rsidRDefault="001A6196" w:rsidP="00CA379D">
      <w:pPr>
        <w:spacing w:after="0" w:line="240" w:lineRule="auto"/>
        <w:ind w:left="567" w:hanging="567"/>
        <w:jc w:val="both"/>
        <w:rPr>
          <w:rFonts w:ascii="Cambria" w:hAnsi="Cambria" w:cs="Times New Roman"/>
        </w:rPr>
      </w:pPr>
      <w:r w:rsidRPr="00B044E4">
        <w:rPr>
          <w:rFonts w:ascii="Cambria" w:hAnsi="Cambria" w:cs="Times New Roman"/>
        </w:rPr>
        <w:t xml:space="preserve">European Commission (2013). </w:t>
      </w:r>
      <w:r w:rsidR="005F029D" w:rsidRPr="00B044E4">
        <w:rPr>
          <w:rFonts w:ascii="Cambria" w:hAnsi="Cambria" w:cs="Times New Roman"/>
        </w:rPr>
        <w:t>Common Provision Regulation (1303/2013). https://eur-lex.europa.eu/legal-content/EN/TXT/?uri=CELEX:32013R1303</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Komninos, N., 2016. Smart environments and smart growth: Connecting innovation strategies and digital growth strategies</w:t>
      </w:r>
      <w:r w:rsidRPr="00B044E4">
        <w:rPr>
          <w:rFonts w:ascii="Cambria" w:hAnsi="Cambria" w:cs="Times New Roman"/>
          <w:i/>
        </w:rPr>
        <w:t>. International Journal of Knowledge-Based Development</w:t>
      </w:r>
      <w:r w:rsidRPr="00B044E4">
        <w:rPr>
          <w:rFonts w:ascii="Cambria" w:hAnsi="Cambria" w:cs="Times New Roman"/>
        </w:rPr>
        <w:t xml:space="preserve"> 7, 240–263. doi:10.1504/IJKBD.2016.078536</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 xml:space="preserve">Komninos, N., Musyck, B., Reid, A.I., 2014. European Journal of Innovation Management Smart specialisation strategies in south Europe during crisis Smart specialisation strategies in south Europe during crisis. </w:t>
      </w:r>
      <w:r w:rsidRPr="00B044E4">
        <w:rPr>
          <w:rFonts w:ascii="Cambria" w:hAnsi="Cambria" w:cs="Times New Roman"/>
          <w:i/>
        </w:rPr>
        <w:t>European Journal of Innovation Management</w:t>
      </w:r>
      <w:r w:rsidRPr="00B044E4">
        <w:rPr>
          <w:rFonts w:ascii="Cambria" w:hAnsi="Cambria" w:cs="Times New Roman"/>
        </w:rPr>
        <w:t xml:space="preserve"> 17, 448–471.</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Lämmer-Gamp, T., zu Köcker, G.M., Nerger, M., 2014. Cluster Collaboration and Business Support Tools to Facilitate Entrepreneurship, Cross-sectoral Collaboration and Growth. En ligne sur le site web de la Commission Européenne http://ec. europa. eu/enterprise/initiatives/cluster/observatory/2014-10-10-eco-report-d4 1.</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 xml:space="preserve">Landabaso, M., 2014. Guest editorial on research and innovation strategies for smart specialisation in Europe: Theory and practice of new innovation policy approaches. </w:t>
      </w:r>
      <w:r w:rsidRPr="00B044E4">
        <w:rPr>
          <w:rFonts w:ascii="Cambria" w:hAnsi="Cambria" w:cs="Times New Roman"/>
          <w:i/>
        </w:rPr>
        <w:t>European Journal of Innovation Management</w:t>
      </w:r>
      <w:r w:rsidRPr="00B044E4">
        <w:rPr>
          <w:rFonts w:ascii="Cambria" w:hAnsi="Cambria" w:cs="Times New Roman"/>
        </w:rPr>
        <w:t xml:space="preserve"> 17, 378–389. doi:10.1108/EJIM-08-2014-0093</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 xml:space="preserve">Landabaso, M., Mouton, B., 2005. Towards a different regional innovation policy: 8 years of European experience through the European regional development fund innovative actions, in: in Heitor, M. (Ed.), </w:t>
      </w:r>
      <w:r w:rsidRPr="00B044E4">
        <w:rPr>
          <w:rFonts w:ascii="Cambria" w:hAnsi="Cambria" w:cs="Times New Roman"/>
          <w:i/>
        </w:rPr>
        <w:t>Regional Development and Conditions for Innovation in the Network Society</w:t>
      </w:r>
      <w:r w:rsidRPr="00B044E4">
        <w:rPr>
          <w:rFonts w:ascii="Cambria" w:hAnsi="Cambria" w:cs="Times New Roman"/>
        </w:rPr>
        <w:t>. Purdue University Press, West Lafayette, IN, pp. 209–240.</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 xml:space="preserve">McCann, P., Ortega-Argiles, R., 2015. Smart Specialization, Regional Growth and Applications to European Union Cohesion Policy. </w:t>
      </w:r>
      <w:r w:rsidRPr="00B044E4">
        <w:rPr>
          <w:rFonts w:ascii="Cambria" w:hAnsi="Cambria" w:cs="Times New Roman"/>
          <w:i/>
        </w:rPr>
        <w:t>Regional Studies</w:t>
      </w:r>
      <w:r w:rsidRPr="00B044E4">
        <w:rPr>
          <w:rFonts w:ascii="Cambria" w:hAnsi="Cambria" w:cs="Times New Roman"/>
        </w:rPr>
        <w:t xml:space="preserve"> 49, 1291–1302. doi:10.1080/00343404.2013.799769</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 xml:space="preserve">McCann, P., Ortega-Argilés, R., 2014. Smart specialisation in European regions: Issues of strategy, institutions and implementation. </w:t>
      </w:r>
      <w:r w:rsidRPr="00B044E4">
        <w:rPr>
          <w:rFonts w:ascii="Cambria" w:hAnsi="Cambria" w:cs="Times New Roman"/>
          <w:i/>
        </w:rPr>
        <w:t>European Journal of Innovation Management</w:t>
      </w:r>
      <w:r w:rsidRPr="00B044E4">
        <w:rPr>
          <w:rFonts w:ascii="Cambria" w:hAnsi="Cambria" w:cs="Times New Roman"/>
        </w:rPr>
        <w:t xml:space="preserve"> 17, 409–427. doi:10.1108/EJIM-05-2014-0052</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 xml:space="preserve">Pessoa, A., 2016. Rectracted: Smart specialization in the EU: RIS3 conditionality, innovation and cohesion. </w:t>
      </w:r>
      <w:r w:rsidRPr="00B044E4">
        <w:rPr>
          <w:rFonts w:ascii="Cambria" w:hAnsi="Cambria" w:cs="Times New Roman"/>
          <w:i/>
        </w:rPr>
        <w:t>Papers in Regional Science</w:t>
      </w:r>
      <w:r w:rsidRPr="00B044E4">
        <w:rPr>
          <w:rFonts w:ascii="Cambria" w:hAnsi="Cambria" w:cs="Times New Roman"/>
        </w:rPr>
        <w:t xml:space="preserve"> 95, 439.</w:t>
      </w:r>
    </w:p>
    <w:p w:rsidR="009224B6" w:rsidRPr="00B044E4" w:rsidRDefault="009224B6" w:rsidP="00CA379D">
      <w:pPr>
        <w:spacing w:after="0" w:line="240" w:lineRule="auto"/>
        <w:ind w:left="567" w:hanging="567"/>
        <w:jc w:val="both"/>
        <w:rPr>
          <w:rFonts w:ascii="Cambria" w:hAnsi="Cambria" w:cs="Times New Roman"/>
        </w:rPr>
      </w:pPr>
      <w:r w:rsidRPr="00B044E4">
        <w:rPr>
          <w:rFonts w:ascii="Cambria" w:hAnsi="Cambria" w:cs="Times New Roman"/>
        </w:rPr>
        <w:t xml:space="preserve">Reid, A., Maroulis, N., 2017. From Strategy to Implementation: The Real Challenge for Smart Specialization Policy, in: </w:t>
      </w:r>
      <w:r w:rsidRPr="00B044E4">
        <w:rPr>
          <w:rFonts w:ascii="Cambria" w:hAnsi="Cambria" w:cs="Times New Roman"/>
          <w:i/>
        </w:rPr>
        <w:t>Advances in the Theory and Practice of Smart Specialization</w:t>
      </w:r>
      <w:r w:rsidRPr="00B044E4">
        <w:rPr>
          <w:rFonts w:ascii="Cambria" w:hAnsi="Cambria" w:cs="Times New Roman"/>
        </w:rPr>
        <w:t>. Academic Press, pp. 293–318.</w:t>
      </w:r>
    </w:p>
    <w:p w:rsidR="00506EAA" w:rsidRPr="00B044E4" w:rsidRDefault="00506EAA" w:rsidP="00CA379D">
      <w:pPr>
        <w:spacing w:after="0" w:line="240" w:lineRule="auto"/>
        <w:ind w:left="567" w:hanging="567"/>
        <w:jc w:val="both"/>
        <w:rPr>
          <w:rFonts w:ascii="Cambria" w:hAnsi="Cambria" w:cs="Times New Roman"/>
        </w:rPr>
      </w:pPr>
    </w:p>
    <w:p w:rsidR="00506EAA" w:rsidRPr="00D84D36" w:rsidRDefault="00506EAA" w:rsidP="00D84D36">
      <w:pPr>
        <w:pStyle w:val="Heading3"/>
        <w:spacing w:before="0" w:after="0"/>
        <w:rPr>
          <w:rFonts w:ascii="Cambria" w:hAnsi="Cambria"/>
          <w:b/>
          <w:sz w:val="22"/>
          <w:szCs w:val="22"/>
        </w:rPr>
      </w:pPr>
      <w:r w:rsidRPr="00B044E4">
        <w:rPr>
          <w:rFonts w:ascii="Cambria" w:hAnsi="Cambria"/>
          <w:b/>
          <w:sz w:val="22"/>
          <w:szCs w:val="22"/>
        </w:rPr>
        <w:t>(</w:t>
      </w:r>
      <w:r w:rsidRPr="00D84D36">
        <w:rPr>
          <w:rFonts w:ascii="Cambria" w:hAnsi="Cambria"/>
          <w:b/>
          <w:sz w:val="22"/>
          <w:szCs w:val="22"/>
        </w:rPr>
        <w:t>Section 3)</w:t>
      </w:r>
    </w:p>
    <w:p w:rsidR="00506EAA" w:rsidRPr="00D84D36" w:rsidRDefault="00506EAA" w:rsidP="00D84D36">
      <w:pPr>
        <w:spacing w:after="0" w:line="240" w:lineRule="auto"/>
        <w:ind w:left="567" w:hanging="567"/>
        <w:contextualSpacing/>
        <w:jc w:val="both"/>
        <w:rPr>
          <w:rFonts w:ascii="Cambria" w:hAnsi="Cambria"/>
        </w:rPr>
      </w:pPr>
      <w:r w:rsidRPr="00D84D36">
        <w:rPr>
          <w:rFonts w:ascii="Cambria" w:hAnsi="Cambria"/>
        </w:rPr>
        <w:t xml:space="preserve">European Commission (2018), Annexes to the Proposal for a regulation of the European Parliament and of the Council laying down common provisions on the European Regional Development Fund, the European Social Fund Plus, the Cohesion Fund, and the European Maritime and Fisheries Fund and financial rules for those and for the Asylum and Migration Fund, the Internal Security Fund and the Border Management and Visa Instrument. Strasbourg: European Commission, available at </w:t>
      </w:r>
      <w:hyperlink r:id="rId22" w:history="1">
        <w:r w:rsidRPr="00D84D36">
          <w:rPr>
            <w:rStyle w:val="Hyperlink"/>
            <w:rFonts w:ascii="Cambria" w:hAnsi="Cambria"/>
          </w:rPr>
          <w:t>https://eur-lex.europa.eu/resource.html?uri=cellar:26b02a36-6376-11e8-ab9c-01aa75ed71a1.0003.02/DOC_3&amp;format=PDF</w:t>
        </w:r>
      </w:hyperlink>
      <w:r w:rsidRPr="00D84D36">
        <w:rPr>
          <w:rFonts w:ascii="Cambria" w:hAnsi="Cambria"/>
        </w:rPr>
        <w:t xml:space="preserve">. </w:t>
      </w:r>
    </w:p>
    <w:p w:rsidR="00506EAA" w:rsidRPr="00D84D36" w:rsidRDefault="00506EAA" w:rsidP="00D84D36">
      <w:pPr>
        <w:spacing w:after="0" w:line="240" w:lineRule="auto"/>
        <w:ind w:left="567" w:hanging="567"/>
        <w:contextualSpacing/>
        <w:jc w:val="both"/>
        <w:rPr>
          <w:rFonts w:ascii="Cambria" w:hAnsi="Cambria"/>
        </w:rPr>
      </w:pPr>
      <w:r w:rsidRPr="00D84D36">
        <w:rPr>
          <w:rFonts w:ascii="Cambria" w:hAnsi="Cambria"/>
        </w:rPr>
        <w:t xml:space="preserve">European Commission (2018a), EU budget: Regional Development and Cohesion Policy beyond 2020. </w:t>
      </w:r>
      <w:r w:rsidRPr="00D84D36">
        <w:rPr>
          <w:rFonts w:ascii="Cambria" w:hAnsi="Cambria"/>
          <w:bCs/>
        </w:rPr>
        <w:t xml:space="preserve">European Commission - Press release, available at </w:t>
      </w:r>
      <w:hyperlink r:id="rId23" w:history="1">
        <w:r w:rsidRPr="00D84D36">
          <w:rPr>
            <w:rStyle w:val="Hyperlink"/>
            <w:rFonts w:ascii="Cambria" w:hAnsi="Cambria"/>
            <w:bCs/>
          </w:rPr>
          <w:t>http://europa.eu/rapid/press-release_IP-18-3885_en.htm</w:t>
        </w:r>
      </w:hyperlink>
      <w:r w:rsidRPr="00D84D36">
        <w:rPr>
          <w:rFonts w:ascii="Cambria" w:hAnsi="Cambria"/>
          <w:bCs/>
        </w:rPr>
        <w:t xml:space="preserve">. </w:t>
      </w:r>
    </w:p>
    <w:p w:rsidR="00506EAA" w:rsidRPr="00D84D36" w:rsidRDefault="00506EAA" w:rsidP="00D84D36">
      <w:pPr>
        <w:spacing w:after="0" w:line="240" w:lineRule="auto"/>
        <w:ind w:left="567" w:hanging="567"/>
        <w:contextualSpacing/>
        <w:jc w:val="both"/>
        <w:rPr>
          <w:rFonts w:ascii="Cambria" w:hAnsi="Cambria"/>
        </w:rPr>
      </w:pPr>
      <w:r w:rsidRPr="00D84D36">
        <w:rPr>
          <w:rFonts w:ascii="Cambria" w:hAnsi="Cambria"/>
        </w:rPr>
        <w:t xml:space="preserve">European Commission (2018b), Social innovation. Available at </w:t>
      </w:r>
      <w:hyperlink r:id="rId24" w:history="1">
        <w:r w:rsidRPr="00D84D36">
          <w:rPr>
            <w:rStyle w:val="Hyperlink"/>
            <w:rFonts w:ascii="Cambria" w:hAnsi="Cambria"/>
          </w:rPr>
          <w:t>ec.europa.eu/growth/industry/innovation/policy/social_en</w:t>
        </w:r>
      </w:hyperlink>
      <w:r w:rsidRPr="00D84D36">
        <w:rPr>
          <w:rFonts w:ascii="Cambria" w:hAnsi="Cambria"/>
        </w:rPr>
        <w:t xml:space="preserve">. </w:t>
      </w:r>
    </w:p>
    <w:p w:rsidR="00506EAA" w:rsidRPr="00D84D36" w:rsidRDefault="00506EAA" w:rsidP="00D84D36">
      <w:pPr>
        <w:spacing w:after="0" w:line="240" w:lineRule="auto"/>
        <w:ind w:left="567" w:hanging="567"/>
        <w:contextualSpacing/>
        <w:jc w:val="both"/>
        <w:rPr>
          <w:rFonts w:ascii="Cambria" w:hAnsi="Cambria"/>
        </w:rPr>
      </w:pPr>
      <w:r w:rsidRPr="00D84D36">
        <w:rPr>
          <w:rFonts w:ascii="Cambria" w:hAnsi="Cambria"/>
        </w:rPr>
        <w:t>Foray, D., J. Goddard, X. Goenaga Beldarrain, M. Landabaso, P. McCann, K. Morgan, C. Nauwelaers, and R. Ortega-Argilés (2012), Guide to Research and Innovation Strategies for Smart Specialisation (RIS 3), Luxembourg: Publications Office of the European Union.</w:t>
      </w:r>
    </w:p>
    <w:p w:rsidR="00506EAA" w:rsidRPr="00D84D36" w:rsidRDefault="00506EAA" w:rsidP="00D84D36">
      <w:pPr>
        <w:spacing w:after="0" w:line="240" w:lineRule="auto"/>
        <w:ind w:left="567" w:hanging="567"/>
        <w:contextualSpacing/>
        <w:jc w:val="both"/>
        <w:rPr>
          <w:rFonts w:ascii="Cambria" w:hAnsi="Cambria"/>
        </w:rPr>
      </w:pPr>
      <w:r w:rsidRPr="00D84D36">
        <w:rPr>
          <w:rFonts w:ascii="Cambria" w:hAnsi="Cambria"/>
        </w:rPr>
        <w:t>Foray, D., K. Morgan, and S. Radosevic (n. d.), “The role of smart specialisation in the EU research and innovation policy landscape“, European Commission.</w:t>
      </w:r>
    </w:p>
    <w:p w:rsidR="00506EAA" w:rsidRPr="00D84D36" w:rsidRDefault="00506EAA" w:rsidP="00D84D36">
      <w:pPr>
        <w:spacing w:after="0" w:line="240" w:lineRule="auto"/>
        <w:ind w:left="567" w:hanging="567"/>
        <w:contextualSpacing/>
        <w:jc w:val="both"/>
        <w:rPr>
          <w:rFonts w:ascii="Cambria" w:hAnsi="Cambria"/>
        </w:rPr>
      </w:pPr>
      <w:r w:rsidRPr="00D84D36">
        <w:rPr>
          <w:rFonts w:ascii="Cambria" w:hAnsi="Cambria"/>
        </w:rPr>
        <w:t xml:space="preserve">Foray, D., P. A. David and B. Hall (2009), “Smart specialisation – the concept“, Knowledge Economists Policy Brief n° 9. </w:t>
      </w:r>
    </w:p>
    <w:p w:rsidR="00506EAA" w:rsidRPr="00D84D36" w:rsidRDefault="00506EAA" w:rsidP="00D84D36">
      <w:pPr>
        <w:spacing w:after="0" w:line="240" w:lineRule="auto"/>
        <w:ind w:left="567" w:hanging="567"/>
        <w:contextualSpacing/>
        <w:jc w:val="both"/>
        <w:rPr>
          <w:rFonts w:ascii="Cambria" w:hAnsi="Cambria"/>
          <w:color w:val="000000" w:themeColor="text1"/>
        </w:rPr>
      </w:pPr>
      <w:r w:rsidRPr="00D84D36">
        <w:rPr>
          <w:rFonts w:ascii="Cambria" w:eastAsia="Times New Roman" w:hAnsi="Cambria" w:cstheme="minorHAnsi"/>
          <w:color w:val="000000" w:themeColor="text1"/>
        </w:rPr>
        <w:t xml:space="preserve">Gianelle, C., D. Kyriakou, C. Cohen and M. Przeor (eds) (2016), Implementing Smart Specialisation: A Handbook, Brussels: European Commission </w:t>
      </w:r>
    </w:p>
    <w:p w:rsidR="00506EAA" w:rsidRPr="00D84D36" w:rsidRDefault="00506EAA" w:rsidP="00D84D36">
      <w:pPr>
        <w:spacing w:after="0" w:line="240" w:lineRule="auto"/>
        <w:ind w:left="567" w:hanging="567"/>
        <w:contextualSpacing/>
        <w:jc w:val="both"/>
        <w:rPr>
          <w:rFonts w:ascii="Cambria" w:hAnsi="Cambria"/>
        </w:rPr>
      </w:pPr>
      <w:r w:rsidRPr="00D84D36">
        <w:rPr>
          <w:rFonts w:ascii="Cambria" w:hAnsi="Cambria"/>
        </w:rPr>
        <w:t>Griniece, E., A. Panori, C. Kakderi, A. Komninos, and A. Reid (2017), “Methodologies of smart specialisation strategies: A view across the EU regions“, International Conference for Entrepreneurship, Innovation, and Regional Development (ICEIRD 2017), Conference proceedings.</w:t>
      </w:r>
    </w:p>
    <w:p w:rsidR="00506EAA" w:rsidRPr="00D84D36" w:rsidRDefault="00506EAA" w:rsidP="00D84D36">
      <w:pPr>
        <w:spacing w:after="0" w:line="240" w:lineRule="auto"/>
        <w:ind w:left="567" w:hanging="567"/>
        <w:contextualSpacing/>
        <w:jc w:val="both"/>
        <w:rPr>
          <w:rFonts w:ascii="Cambria" w:hAnsi="Cambria"/>
        </w:rPr>
      </w:pPr>
      <w:r w:rsidRPr="00D84D36">
        <w:rPr>
          <w:rFonts w:ascii="Cambria" w:hAnsi="Cambria"/>
        </w:rPr>
        <w:t>Griniece, E., L. Rivera León, A. Reid, N. Komionos, and A. Panori (2016), State of the art report on methodologies and online tools for smart specialisation strategies. Report produced in the framework of Horizon 2020 project Online S3: ONLINE Platform for Smart Specialisation Policy Advice.</w:t>
      </w:r>
    </w:p>
    <w:p w:rsidR="00506EAA" w:rsidRPr="00D84D36" w:rsidRDefault="00506EAA" w:rsidP="00D84D36">
      <w:pPr>
        <w:spacing w:after="0" w:line="240" w:lineRule="auto"/>
        <w:ind w:left="567" w:hanging="567"/>
        <w:contextualSpacing/>
        <w:jc w:val="both"/>
        <w:rPr>
          <w:rFonts w:ascii="Cambria" w:hAnsi="Cambria"/>
        </w:rPr>
      </w:pPr>
      <w:r w:rsidRPr="00D84D36">
        <w:rPr>
          <w:rFonts w:ascii="Cambria" w:hAnsi="Cambria"/>
        </w:rPr>
        <w:t xml:space="preserve">Marinelli, E. and I. Perianez Forte (2017), “Smart specialisation at work: The entrepreneurial discovery as a continuous process“, </w:t>
      </w:r>
      <w:r w:rsidRPr="00D84D36">
        <w:rPr>
          <w:rFonts w:ascii="Cambria" w:hAnsi="Cambria"/>
          <w:i/>
        </w:rPr>
        <w:t>S3 Working Paper Series No. 12</w:t>
      </w:r>
      <w:r w:rsidRPr="00D84D36">
        <w:rPr>
          <w:rFonts w:ascii="Cambria" w:hAnsi="Cambria"/>
        </w:rPr>
        <w:t>.</w:t>
      </w:r>
    </w:p>
    <w:p w:rsidR="00506EAA" w:rsidRPr="00D84D36" w:rsidRDefault="00506EAA" w:rsidP="00D84D36">
      <w:pPr>
        <w:spacing w:after="0" w:line="240" w:lineRule="auto"/>
        <w:ind w:left="567" w:hanging="567"/>
        <w:contextualSpacing/>
        <w:jc w:val="both"/>
        <w:rPr>
          <w:rFonts w:ascii="Cambria" w:hAnsi="Cambria"/>
        </w:rPr>
      </w:pPr>
      <w:r w:rsidRPr="00D84D36">
        <w:rPr>
          <w:rFonts w:ascii="Cambria" w:hAnsi="Cambria"/>
        </w:rPr>
        <w:t xml:space="preserve">Mazzucato, M. (2018), “Mission-Oriented Research &amp; Innovation in the European Union: </w:t>
      </w:r>
      <w:r w:rsidRPr="00D84D36">
        <w:rPr>
          <w:rFonts w:ascii="Cambria" w:hAnsi="Cambria"/>
          <w:iCs/>
        </w:rPr>
        <w:t>A problem-solving approach to fuel innovation-led growth“, Brussels: European Commission.</w:t>
      </w:r>
    </w:p>
    <w:p w:rsidR="00506EAA" w:rsidRPr="00D84D36" w:rsidRDefault="00506EAA" w:rsidP="00D84D36">
      <w:pPr>
        <w:spacing w:after="0" w:line="240" w:lineRule="auto"/>
        <w:ind w:left="567" w:hanging="567"/>
        <w:contextualSpacing/>
        <w:jc w:val="both"/>
        <w:rPr>
          <w:rFonts w:ascii="Cambria" w:hAnsi="Cambria"/>
        </w:rPr>
      </w:pPr>
      <w:r w:rsidRPr="00D84D36">
        <w:rPr>
          <w:rFonts w:ascii="Cambria" w:hAnsi="Cambria"/>
        </w:rPr>
        <w:t>Radosevic, S. (2017), “Assessing EU smart specialization policy in a comparative perspective“, in S. Radosevic, A. Curaj, R. Gheorghiu, L. Andreescu and I. Wade (eds.) (2017), Advances in the Theory and Practice of Smart Specialization, London: Academic Press, pp.  1-36.</w:t>
      </w:r>
    </w:p>
    <w:p w:rsidR="00516ABD" w:rsidRPr="00D84D36" w:rsidRDefault="00516ABD" w:rsidP="00D84D36">
      <w:pPr>
        <w:spacing w:after="0" w:line="240" w:lineRule="auto"/>
        <w:ind w:hanging="567"/>
        <w:rPr>
          <w:rFonts w:ascii="Cambria" w:hAnsi="Cambria" w:cs="Times New Roman"/>
          <w:b/>
          <w:color w:val="000000"/>
        </w:rPr>
      </w:pPr>
    </w:p>
    <w:p w:rsidR="00C246FF" w:rsidRPr="00D84D36" w:rsidRDefault="00C246FF" w:rsidP="00D84D36">
      <w:pPr>
        <w:spacing w:after="0" w:line="240" w:lineRule="auto"/>
        <w:ind w:hanging="567"/>
        <w:jc w:val="both"/>
        <w:rPr>
          <w:rFonts w:ascii="Cambria" w:hAnsi="Cambria" w:cs="Times New Roman"/>
          <w:b/>
          <w:color w:val="000000"/>
        </w:rPr>
      </w:pPr>
      <w:r w:rsidRPr="00D84D36">
        <w:rPr>
          <w:rFonts w:ascii="Cambria" w:hAnsi="Cambria" w:cs="Times New Roman"/>
          <w:b/>
          <w:color w:val="000000"/>
        </w:rPr>
        <w:t>(section 4)</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 xml:space="preserve">Antonelli, G., and Cappiello, G. (eds), (2016), Smart Development in Smart Communities, Routledge.  </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Biber, E., Light, S. E., Ruhl, J. B., and Salzman, J. E., (2017), Regulating Business Innovation as Policy Disruption: From the Model T to Airbnb.</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Boschma, R., &amp; Gianelle, C. (2013). Regional branching and smart specialization policy. JRC technical reports, (06/2104).</w:t>
      </w:r>
    </w:p>
    <w:p w:rsidR="00C246FF" w:rsidRPr="00D84D36" w:rsidRDefault="00C246FF" w:rsidP="00D84D36">
      <w:pPr>
        <w:spacing w:after="0" w:line="240" w:lineRule="auto"/>
        <w:ind w:left="567" w:hanging="567"/>
        <w:jc w:val="both"/>
        <w:rPr>
          <w:rFonts w:ascii="Cambria" w:hAnsi="Cambria"/>
        </w:rPr>
      </w:pPr>
      <w:r w:rsidRPr="00D84D36">
        <w:rPr>
          <w:rFonts w:ascii="Cambria" w:hAnsi="Cambria" w:cs="Times New Roman"/>
        </w:rPr>
        <w:t>Capello, R., &amp; Kroll, H. (2016). From theory to practice in smart specialization strategy: emerging limits and possible future trajectories. European Planning Studies, 24(8), 1393-1406.</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Charalabidis, Y., Gionis, G., Ferro, E., &amp; Loukis, E. (2010). Towards a systematic exploitation of web 2.0 and simulation modeling tools in public policy process. In International Conference on Electronic Participation (pp. 1-12). Springer, Berlin, Heidelberg.</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Cooke, P. (2012). Knowledge economy spillovers, proximity, and specialization. In Interactive Learning for Innovation (pp. 100-111). Palgrave Macmillan UK.</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lastRenderedPageBreak/>
        <w:t>Etzkowitz, H., &amp; Leydesdorff, L. (1995). The Triple Helix. University-Industry-Government Relations: A Laboratory for Knowledge-Based Economic Development, EASST Review, 14: 14-19.</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Foray, D., Goddard, J., Beldarrain, X. G., Landabaso, M., McCann, P., Morgan, K., Nauwelaers, C., and Ortega-Argilés, R., (2012), Guide to Research and Innovation Strategies for Smart Specialization (RIS3), Luxembourg, Publications Office of the European Union.</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Gianelle, C., D. Kyriakou, C. Cohen and M. Przeor (eds) (2016), Implementing Smart Specialisation: A Handbook, Brussels: European Commission, EUR 28053 EN, doi:10.2791/53569.</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Griniece, E., Panori, A., Kakderi, C., Komninos, A., Reid, A. (2017). Methodologies for Smart Specialisation Strategies: a view across the EU regions. In Proceedings of the 10th International Conference for Entrepreneurship, Innovation and Regional Development ICEIRD 2017, pp. 321-330.</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Iacobucci, D. (2014). Designing and implementing a smart specialisation strategy at regional level: Some open questions. Scienze Regionali.</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Iacobucci, D., &amp; Guzzini, E. (2016). Relatedness and connectivity in technological domains: missing links in S3 design and implementation. European Planning Studies, 24(8), 1511-1526</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Kakderi, C., Psaltoglou, A., &amp; Fellnhofer, K. (2018) Digital platforms and online applications for user engagement and collaborative innovation. In proceedings of the 20th Scientific Conference, Association of Greek Regional Scientists, Regions at a turning point: Post-Digital communities, New regionalism and Re-nationalisation - Sustainable development implications, Athens 2018, pp. 112-117.</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Kenney, M., and Zysman, J., (2016), The rise of the platform economy, Issues in Science and Technology, 32(3), 61.</w:t>
      </w:r>
    </w:p>
    <w:p w:rsidR="00C246FF" w:rsidRPr="00D84D36" w:rsidRDefault="00C246FF" w:rsidP="00D84D36">
      <w:pPr>
        <w:spacing w:after="0" w:line="240" w:lineRule="auto"/>
        <w:ind w:left="567" w:hanging="567"/>
        <w:jc w:val="both"/>
        <w:rPr>
          <w:rFonts w:ascii="Cambria" w:hAnsi="Cambria" w:cs="Times New Roman"/>
          <w:lang w:val="en-US"/>
        </w:rPr>
      </w:pPr>
      <w:r w:rsidRPr="00D84D36">
        <w:rPr>
          <w:rFonts w:ascii="Cambria" w:hAnsi="Cambria" w:cs="Times New Roman"/>
        </w:rPr>
        <w:t>Komninos, N. (2018). Internet platforms, innovation and growth under the 'smart everything' paradigm. In proceedings of the 20th Scientific Conference, Association of Greek Regional Scientists, Regions at a turning point: Post-Digital communities, New regionalism and Re-nationalisation - Sustainable development implications, Athens 2018, pp. 119-125.</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Komninos, N., Tsarchopoulos, P., and Kakderi, C., (2014a), New services design for smart cities: A planning roadmap for user-driven innovation, In Proceedings of the 2014 ACM international workshop on Wireless and mobile technologies for smart cities, ACM, 29-38.</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Komninos, N., Musyck, B., &amp; Iain Reid, A. (2014b). Smart specialisation strategies in south Europe during crisis. European Journal of Innovation Management, 17(4), 448-471.</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Kroll, H. (2015). Efforts to implement smart specialization in practice—leading unlike horses to the water. European Planning Studies, 23(10), 2079-2098.</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 xml:space="preserve">Oskam, J., and Boswijk, A., (2016), Airbnb: the future of networked hospitality businesses, Journal of Tourism Futures, 2(1), 22-42, </w:t>
      </w:r>
      <w:hyperlink r:id="rId25" w:history="1">
        <w:r w:rsidRPr="00D84D36">
          <w:rPr>
            <w:rStyle w:val="Hyperlink"/>
            <w:rFonts w:ascii="Cambria" w:hAnsi="Cambria" w:cs="Times New Roman"/>
          </w:rPr>
          <w:t>https://doi.org/10.1108/JTF-11-2015-0048</w:t>
        </w:r>
      </w:hyperlink>
      <w:r w:rsidRPr="00D84D36">
        <w:rPr>
          <w:rFonts w:ascii="Cambria" w:hAnsi="Cambria" w:cs="Times New Roman"/>
        </w:rPr>
        <w:t>.</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Panori, Α., Angelidou, Μ., Mora, L., Reid, A. and Sefertzi, Ε. (2018). Online platforms for Smart Specialisation Strategy and Smart Growth. In proceedings, 20th Scientific Conference, Association of Greek Regional Scientists, Regions at a turning point: Post-Digital communities, New regionalism and Re-nationalisation - Sustainable development implications, Athens 2018, pp. 96-102.</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Panori, A., Komninos, N., Kakderi, C., &amp; Fellnhofer, K. (2017). Smart Specialisation Strategies: An Online Platform for Strategy Design and Assessment. In International Conference on Reliability and Statistics in Transportation and Communication (pp. 3-16). Springer, Cham.</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Panori, A., González-Quel, A., Tavares, M., Simitopoulos, D., and Arroyo, J., (2016), Migration of applications to the Cloud: A user-driven approach, Journal of Smart Cities, 2(1).</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 xml:space="preserve">Ranga M. &amp; Etzkowitz H. (2012), A Triple Helix System for Knowledge-based Regional Development: From “Spheres” to “Spaces”. Online: </w:t>
      </w:r>
      <w:hyperlink r:id="rId26" w:history="1">
        <w:r w:rsidRPr="00D84D36">
          <w:rPr>
            <w:rStyle w:val="Hyperlink"/>
            <w:rFonts w:ascii="Cambria" w:hAnsi="Cambria" w:cs="Times New Roman"/>
          </w:rPr>
          <w:t>https://triplehelix.stanford.edu/images/Triple_Helix_Systems.pdf</w:t>
        </w:r>
      </w:hyperlink>
      <w:r w:rsidRPr="00D84D36">
        <w:rPr>
          <w:rFonts w:ascii="Cambria" w:hAnsi="Cambria" w:cs="Times New Roman"/>
        </w:rPr>
        <w:t xml:space="preserve"> </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t>Reid, A., Komninos, N., Sanchez-P, J. A., &amp; Tsanakas, P. (2012). RIS3 National Assessment: Greece. Smart specialisation as a means to foster economic renewal. a report to the European Commission, DG Regional Policy, Slovenia.</w:t>
      </w:r>
    </w:p>
    <w:p w:rsidR="00C246FF" w:rsidRPr="00D84D36" w:rsidRDefault="00C246FF" w:rsidP="00D84D36">
      <w:pPr>
        <w:spacing w:after="0" w:line="240" w:lineRule="auto"/>
        <w:ind w:left="567" w:hanging="567"/>
        <w:jc w:val="both"/>
        <w:rPr>
          <w:rFonts w:ascii="Cambria" w:hAnsi="Cambria" w:cs="Times New Roman"/>
        </w:rPr>
      </w:pPr>
      <w:r w:rsidRPr="00D84D36">
        <w:rPr>
          <w:rFonts w:ascii="Cambria" w:hAnsi="Cambria" w:cs="Times New Roman"/>
        </w:rPr>
        <w:lastRenderedPageBreak/>
        <w:t>Rowe, G., &amp; Frewer, L. J. (2004). Evaluating public-participation exercises: a research agenda. Science, technology, &amp; human values, 29(4), 512-556.</w:t>
      </w:r>
    </w:p>
    <w:p w:rsidR="00C246FF" w:rsidRPr="00D84D36" w:rsidRDefault="00C246FF" w:rsidP="00D84D36">
      <w:pPr>
        <w:spacing w:after="0" w:line="240" w:lineRule="auto"/>
        <w:ind w:hanging="567"/>
        <w:jc w:val="both"/>
        <w:rPr>
          <w:rFonts w:ascii="Cambria" w:hAnsi="Cambria" w:cs="Times New Roman"/>
          <w:b/>
          <w:color w:val="000000"/>
        </w:rPr>
      </w:pPr>
    </w:p>
    <w:p w:rsidR="00506EAA" w:rsidRPr="00D84D36" w:rsidRDefault="00506EAA" w:rsidP="00D84D36">
      <w:pPr>
        <w:spacing w:after="0" w:line="240" w:lineRule="auto"/>
        <w:ind w:hanging="567"/>
        <w:jc w:val="both"/>
        <w:rPr>
          <w:rFonts w:ascii="Cambria" w:hAnsi="Cambria" w:cs="Times New Roman"/>
          <w:b/>
          <w:color w:val="000000"/>
        </w:rPr>
      </w:pPr>
      <w:r w:rsidRPr="00D84D36">
        <w:rPr>
          <w:rFonts w:ascii="Cambria" w:hAnsi="Cambria" w:cs="Times New Roman"/>
          <w:b/>
          <w:color w:val="000000"/>
        </w:rPr>
        <w:t>(section 5)</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Aranguren, M. J., Magro, E., Navarro, M., Wilson, J. 2018. Governance of the territorial entrepreneurial discovery process: looking under the bonnet of RIS3. Regional Studies. DOI: 10.1080/00343404.2018.1462484</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Fellnhofer, K. 2017. Facilitating entrepreneurial discovery in smart specialisation via stakeholder</w:t>
      </w:r>
      <w:r w:rsidR="00F83CB5" w:rsidRPr="00D84D36">
        <w:rPr>
          <w:rFonts w:ascii="Cambria" w:hAnsi="Cambria" w:cs="Times New Roman"/>
          <w:color w:val="000000"/>
        </w:rPr>
        <w:t xml:space="preserve"> </w:t>
      </w:r>
      <w:r w:rsidRPr="00D84D36">
        <w:rPr>
          <w:rFonts w:ascii="Cambria" w:hAnsi="Cambria" w:cs="Times New Roman"/>
          <w:color w:val="000000"/>
        </w:rPr>
        <w:t>participation within online mechanisms for knowledge-based policy advice. Cogent Business &amp;</w:t>
      </w:r>
      <w:r w:rsidR="00F83CB5" w:rsidRPr="00D84D36">
        <w:rPr>
          <w:rFonts w:ascii="Cambria" w:hAnsi="Cambria" w:cs="Times New Roman"/>
          <w:color w:val="000000"/>
        </w:rPr>
        <w:t xml:space="preserve"> </w:t>
      </w:r>
      <w:r w:rsidRPr="00D84D36">
        <w:rPr>
          <w:rFonts w:ascii="Cambria" w:hAnsi="Cambria" w:cs="Times New Roman"/>
          <w:color w:val="000000"/>
        </w:rPr>
        <w:t>Management, 4. 1296802.</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Foray, D., Goddard, J., Goenaga, B. X., Landabaso, M., McCann, P., Morgan, K., Nauwelaers, C. &amp; Ortega-Argilés, R. 2012. Guide to Research and Innovation Strategies for Smart Specialisation. European Commission.</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For-Learn. 2008. Scenario building. Spain: European Commission, Joint Research Center. Available at: forlearn.jrc.ec.europa.eu/guide/4_methodology/meth_scenario.htm [accessed May 31, 2018]</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Gianelle, C. and Kleibrink, A. 2015. Monitoring mechanisms for smart specialisation strategies, S3 policy brief series, 13/2015. Spain: European Commission, Joint Research Centre.</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Gianelle, C., D. Kyriakou, C. Cohen and M. Przeor (eds) (2016), Implementing Smart Specialisation: A Handbook, Brussels: European Commission, EUR 28053 EN, doi:10.2791/53569.</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Gheorghiu R, Andreescu L, Curaj A. 2016. A foresight toolkit for smart specialisation and</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entrepreneurial discovery. Futures 80: 33-44.</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Grillo, F., (2017). Structuring the entrepreneurial discovery process to promote private-public sector engagement in Governing Smart Specialisation, Kyriakou, D., Palazuelos Martinez, M., Periáñez-Forte, I. and Rainoldi, A. (eds.). London, UK: Routledge.</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Griniece, E.,  Rivera, León, L., Reid, A., Komninos, N. and Panori, A. 2016. State of the art report on methodologies and online tools for smart specialisation strategies. R e port produced in the framework of Horizon 2020 project Online S3: ONLINE Platform for Smart Specialisation Policy Advice.</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Kroll, H., Baier, E., Heijs, J., Hollanders, H., Schricke, E., Stahlecker, T. &amp; Wintjes, R. 2011. Development of a methodology for the profiling of regional economies. Fraunhofer ISI, UNU-MERIT, IAIF, Logotech.</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Marianelli, E., and Perinez Forte, I. 2017. Smart Specialisation at work: The entrepreneurial discovery as a continuous process. JRC technical reports, S3 Working Paper Series No. 12/2017. Publications office of the European Union: Luxemburg.</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McCann, P., and Ortega-Argilés, R. (2016). The early experience of smart specialization implementation in EU cohesion policy. European Planning Studies, 24(8),1407-1427.</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OECD 2013. Innovation-driven Growth in Regions: The Role of Smart Specialisation. Organisation for Economic Co-Operation and Development, Committee for Scientific and Technological Policy.</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Paliokaitė, A., Martinaitis, Z., Reimeris, R. 2015. Foresight methods for  smart  specialisation strategy development in Lithuania. Technological Forecasting &amp; Social Change, 101, 185-199.</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Rodriguez-Pose, A., and Wilkie, C., (2017). Institutions and the entrepreneurial discovery process for smart specialization in Governing Smart Specialisation, Kyriakou, D., Palazuelos Martinez, M., Periáñez-Forte, I. and Rainoldi, A. (eds.), London, UK: Routledge.</w:t>
      </w:r>
    </w:p>
    <w:p w:rsidR="00506EAA" w:rsidRPr="00D84D36" w:rsidRDefault="00506EAA" w:rsidP="00D84D36">
      <w:pPr>
        <w:spacing w:after="0" w:line="240" w:lineRule="auto"/>
        <w:ind w:left="567" w:hanging="567"/>
        <w:jc w:val="both"/>
        <w:rPr>
          <w:rFonts w:ascii="Cambria" w:hAnsi="Cambria" w:cs="Times New Roman"/>
          <w:color w:val="000000"/>
        </w:rPr>
      </w:pPr>
      <w:r w:rsidRPr="00D84D36">
        <w:rPr>
          <w:rFonts w:ascii="Cambria" w:hAnsi="Cambria" w:cs="Times New Roman"/>
          <w:color w:val="000000"/>
        </w:rPr>
        <w:t>Roman, M., Nyberg, T. 2017. Openness and Continuous Collaboration as the Foundation for Entrepreneurial Discovery Process in Finnish Regions. Management Dynamics in the Knowledge Economy, 5(4), 517-531</w:t>
      </w:r>
    </w:p>
    <w:p w:rsidR="00506EAA" w:rsidRPr="00D84D36" w:rsidRDefault="00506EAA" w:rsidP="00D84D36">
      <w:pPr>
        <w:widowControl w:val="0"/>
        <w:autoSpaceDE w:val="0"/>
        <w:autoSpaceDN w:val="0"/>
        <w:adjustRightInd w:val="0"/>
        <w:spacing w:after="0" w:line="240" w:lineRule="auto"/>
        <w:ind w:hanging="567"/>
        <w:rPr>
          <w:rFonts w:ascii="Cambria" w:hAnsi="Cambria" w:cs="Arial"/>
        </w:rPr>
      </w:pPr>
    </w:p>
    <w:p w:rsidR="00506EAA" w:rsidRPr="00D84D36" w:rsidRDefault="00506EAA" w:rsidP="00D84D36">
      <w:pPr>
        <w:widowControl w:val="0"/>
        <w:autoSpaceDE w:val="0"/>
        <w:autoSpaceDN w:val="0"/>
        <w:adjustRightInd w:val="0"/>
        <w:spacing w:after="0" w:line="240" w:lineRule="auto"/>
        <w:ind w:hanging="567"/>
        <w:rPr>
          <w:rFonts w:ascii="Cambria" w:hAnsi="Cambria" w:cs="Arial"/>
        </w:rPr>
      </w:pPr>
    </w:p>
    <w:p w:rsidR="003111B8" w:rsidRPr="00D84D36" w:rsidRDefault="00506EAA" w:rsidP="00D84D36">
      <w:pPr>
        <w:widowControl w:val="0"/>
        <w:autoSpaceDE w:val="0"/>
        <w:autoSpaceDN w:val="0"/>
        <w:adjustRightInd w:val="0"/>
        <w:spacing w:after="0" w:line="240" w:lineRule="auto"/>
        <w:ind w:hanging="567"/>
        <w:rPr>
          <w:rFonts w:ascii="Cambria" w:hAnsi="Cambria" w:cs="Arial"/>
          <w:b/>
        </w:rPr>
      </w:pPr>
      <w:r w:rsidRPr="00D84D36">
        <w:rPr>
          <w:rFonts w:ascii="Cambria" w:hAnsi="Cambria" w:cs="Arial"/>
          <w:b/>
        </w:rPr>
        <w:t>(section 6)</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Carayannis, E. G., and Campbell, D. (2010). Triple Helix, Quadruple Helix and Quintuple Helix and How Do Knowledge, Innovation and the Environment Relate to Each Other? A </w:t>
      </w:r>
      <w:r w:rsidRPr="00D84D36">
        <w:rPr>
          <w:rFonts w:ascii="Cambria" w:hAnsi="Cambria"/>
          <w:lang w:val="en-GB"/>
        </w:rPr>
        <w:lastRenderedPageBreak/>
        <w:t xml:space="preserve">Proposed Framework for a Trans-disciplinary Analysis of Sustainable Development and Social Ecology. </w:t>
      </w:r>
      <w:r w:rsidRPr="00D84D36">
        <w:rPr>
          <w:rFonts w:ascii="Cambria" w:hAnsi="Cambria"/>
          <w:i/>
          <w:iCs/>
          <w:lang w:val="en-GB"/>
        </w:rPr>
        <w:t xml:space="preserve">International Journal of Social Ecology and Sustainable Development, </w:t>
      </w:r>
      <w:r w:rsidRPr="00D84D36">
        <w:rPr>
          <w:rFonts w:ascii="Cambria" w:hAnsi="Cambria"/>
          <w:lang w:val="en-GB"/>
        </w:rPr>
        <w:t xml:space="preserve">1(1), 41-69.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Carayannis, E. G., and Campbell, D. (2012). </w:t>
      </w:r>
      <w:r w:rsidRPr="00D84D36">
        <w:rPr>
          <w:rFonts w:ascii="Cambria" w:hAnsi="Cambria"/>
          <w:i/>
          <w:iCs/>
          <w:lang w:val="en-GB"/>
        </w:rPr>
        <w:t xml:space="preserve">Mode 3 Knowledge Production in Quadruple Helix Innovation Systems: 21st-Century Democracy, Innovation, and Entrepreneurship for Development. </w:t>
      </w:r>
      <w:r w:rsidRPr="00D84D36">
        <w:rPr>
          <w:rFonts w:ascii="Cambria" w:hAnsi="Cambria"/>
          <w:lang w:val="en-GB"/>
        </w:rPr>
        <w:t xml:space="preserve">New York City, NY: Springer.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Carayannis, E. G., and Campbell, D. (2014). Developed Democracies Versus Emerging Autocracies: Arts, Democracy, and Innovation in Quadruple Helix Innovation Systems. </w:t>
      </w:r>
      <w:r w:rsidRPr="00D84D36">
        <w:rPr>
          <w:rFonts w:ascii="Cambria" w:hAnsi="Cambria"/>
          <w:i/>
          <w:iCs/>
          <w:lang w:val="en-GB"/>
        </w:rPr>
        <w:t xml:space="preserve">Journal of Innovation and Entrepreneurship, </w:t>
      </w:r>
      <w:r w:rsidRPr="00D84D36">
        <w:rPr>
          <w:rFonts w:ascii="Cambria" w:hAnsi="Cambria"/>
          <w:lang w:val="en-GB"/>
        </w:rPr>
        <w:t xml:space="preserve">3(12), 1-23.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Carayannis, E. G., and Rakhmatullin, R. (2014). The Quadruple/Quintuple Innovation Helixes and Smart Specialisation Strategies for Sustainable and Inclusive Growth in Europe and Beyond. </w:t>
      </w:r>
      <w:r w:rsidRPr="00D84D36">
        <w:rPr>
          <w:rFonts w:ascii="Cambria" w:hAnsi="Cambria"/>
          <w:i/>
          <w:iCs/>
          <w:lang w:val="en-GB"/>
        </w:rPr>
        <w:t xml:space="preserve">Journal of the Knowledge Economy, </w:t>
      </w:r>
      <w:r w:rsidRPr="00D84D36">
        <w:rPr>
          <w:rFonts w:ascii="Cambria" w:hAnsi="Cambria"/>
          <w:lang w:val="en-GB"/>
        </w:rPr>
        <w:t xml:space="preserve">5(2), 212-239.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David, P. A., and Metcalfe, S. (2007). Universities Must Contribute to Enhancing Europe’s Innovative Performance. Knowledge Economists Policy Brief n° 2.</w:t>
      </w:r>
      <w:r w:rsidR="00F83CB5" w:rsidRPr="00D84D36">
        <w:rPr>
          <w:rFonts w:ascii="Cambria" w:hAnsi="Cambria"/>
          <w:lang w:val="en-GB"/>
        </w:rPr>
        <w:t xml:space="preserve"> http://ec.europa.eu/invest-in </w:t>
      </w:r>
      <w:r w:rsidRPr="00D84D36">
        <w:rPr>
          <w:rFonts w:ascii="Cambria" w:hAnsi="Cambria"/>
          <w:lang w:val="en-GB"/>
        </w:rPr>
        <w:t xml:space="preserve">research/pdf/download_en/knowledge_economists_policy_brief2_final.pdf. Accessed 28 April 2017.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Deakin, M. (2014). Smart Cities: The State-of-the-art and Governance Challenge. </w:t>
      </w:r>
      <w:r w:rsidRPr="00D84D36">
        <w:rPr>
          <w:rFonts w:ascii="Cambria" w:hAnsi="Cambria"/>
          <w:i/>
          <w:iCs/>
          <w:lang w:val="en-GB"/>
        </w:rPr>
        <w:t xml:space="preserve">Triple Helix, </w:t>
      </w:r>
      <w:r w:rsidRPr="00D84D36">
        <w:rPr>
          <w:rFonts w:ascii="Cambria" w:hAnsi="Cambria"/>
          <w:lang w:val="en-GB"/>
        </w:rPr>
        <w:t xml:space="preserve">1(7), 1-16.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Deakin, M. (2015). Smart Cities and the Internet: From Mode 2 to Triple Helix Accounts of Their Evolution. In A. Vesco, and F. Ferrero (Eds.), </w:t>
      </w:r>
      <w:r w:rsidRPr="00D84D36">
        <w:rPr>
          <w:rFonts w:ascii="Cambria" w:hAnsi="Cambria"/>
          <w:i/>
          <w:iCs/>
          <w:lang w:val="en-GB"/>
        </w:rPr>
        <w:t xml:space="preserve">Handbook of Research on Social, Economic, and Environmental Sustainability in the Development of Smart Cities </w:t>
      </w:r>
      <w:r w:rsidRPr="00D84D36">
        <w:rPr>
          <w:rFonts w:ascii="Cambria" w:hAnsi="Cambria"/>
          <w:lang w:val="en-GB"/>
        </w:rPr>
        <w:t xml:space="preserve">(pp. 26- 43). Hershey, PA: IGI Global.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Deakin, M., and Leydesdorff, L. (2014). The Triple Helix Model of Smart Cities: A Neo- evolutionary Perspective. In M. Deakin (Ed.), </w:t>
      </w:r>
      <w:r w:rsidRPr="00D84D36">
        <w:rPr>
          <w:rFonts w:ascii="Cambria" w:hAnsi="Cambria"/>
          <w:i/>
          <w:iCs/>
          <w:lang w:val="en-GB"/>
        </w:rPr>
        <w:t xml:space="preserve">Smart Cities: Governing, Modelling and Analyzing the Transition </w:t>
      </w:r>
      <w:r w:rsidRPr="00D84D36">
        <w:rPr>
          <w:rFonts w:ascii="Cambria" w:hAnsi="Cambria"/>
          <w:lang w:val="en-GB"/>
        </w:rPr>
        <w:t xml:space="preserve">(pp. 134-149). New York, NY: Routledge.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Deakin, M., and Reid, A. (2016). Smart Cities: Under-gridding the Sustainability of City- districts As Energy Efficient-low Carbon Zones. </w:t>
      </w:r>
      <w:r w:rsidRPr="00D84D36">
        <w:rPr>
          <w:rFonts w:ascii="Cambria" w:hAnsi="Cambria"/>
          <w:i/>
          <w:iCs/>
          <w:lang w:val="en-GB"/>
        </w:rPr>
        <w:t xml:space="preserve">Journal of Cleaner Production, </w:t>
      </w:r>
      <w:r w:rsidRPr="00D84D36">
        <w:rPr>
          <w:rFonts w:ascii="Cambria" w:hAnsi="Cambria"/>
          <w:lang w:val="en-GB"/>
        </w:rPr>
        <w:t xml:space="preserve">173, 39- 48.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Deakin, M., Mora, L., and Reid, A. (2017). Smart Specialisation Strategies in the Post-linear Era on Research and Innovation. In P. Ketikidis, and A. Solomon (Eds.), </w:t>
      </w:r>
      <w:r w:rsidRPr="00D84D36">
        <w:rPr>
          <w:rFonts w:ascii="Cambria" w:hAnsi="Cambria"/>
          <w:i/>
          <w:iCs/>
          <w:lang w:val="en-GB"/>
        </w:rPr>
        <w:t xml:space="preserve">10th International Conference for Entrepreneurship, Innovation, and Regional Development (ICEIRD 2017): University-Industry Links: Coproducing Knowledge, Innovation and Growth. Conference Proceedings, Thessaloniki, 31 August - 01 September 2017 </w:t>
      </w:r>
      <w:r w:rsidRPr="00D84D36">
        <w:rPr>
          <w:rFonts w:ascii="Cambria" w:hAnsi="Cambria"/>
          <w:lang w:val="en-GB"/>
        </w:rPr>
        <w:t>(pp. 529-540). Sheffield: The University of Sheffield and SEERC.</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Deakin, M.  (2018</w:t>
      </w:r>
      <w:r w:rsidRPr="00D84D36">
        <w:rPr>
          <w:rFonts w:ascii="Cambria" w:hAnsi="Cambria"/>
          <w:u w:val="single"/>
          <w:lang w:val="en-GB"/>
        </w:rPr>
        <w:t>)</w:t>
      </w:r>
      <w:r w:rsidRPr="00D84D36">
        <w:rPr>
          <w:rFonts w:ascii="Cambria" w:eastAsia="Times New Roman" w:hAnsi="Cambria"/>
          <w:u w:val="single"/>
          <w:lang w:val="en-GB"/>
        </w:rPr>
        <w:t xml:space="preserve"> </w:t>
      </w:r>
      <w:hyperlink r:id="rId27" w:history="1">
        <w:r w:rsidRPr="00D84D36">
          <w:rPr>
            <w:rStyle w:val="Hyperlink"/>
            <w:rFonts w:ascii="Cambria" w:eastAsia="Times New Roman" w:hAnsi="Cambria"/>
            <w:lang w:val="en-GB"/>
          </w:rPr>
          <w:t>Smart Cities, Metrics and the Future Internet-Based Governance of Urban and Regional Innovations</w:t>
        </w:r>
      </w:hyperlink>
      <w:r w:rsidRPr="00D84D36">
        <w:rPr>
          <w:rFonts w:ascii="Cambria" w:eastAsia="Times New Roman" w:hAnsi="Cambria"/>
          <w:u w:val="single"/>
          <w:lang w:val="en-GB"/>
        </w:rPr>
        <w:t>,</w:t>
      </w:r>
      <w:r w:rsidRPr="00D84D36">
        <w:rPr>
          <w:rFonts w:ascii="Cambria" w:eastAsia="Times New Roman" w:hAnsi="Cambria"/>
          <w:lang w:val="en-GB"/>
        </w:rPr>
        <w:t xml:space="preserve"> 17 (1): 39-56.</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Etzkowitz, H., and Leydesdorff, L. (1997). Introduction to Special Issue on Science Policy Dimensions of the Triple Helix of University-industry-government Relations. </w:t>
      </w:r>
      <w:r w:rsidRPr="00D84D36">
        <w:rPr>
          <w:rFonts w:ascii="Cambria" w:hAnsi="Cambria"/>
          <w:i/>
          <w:iCs/>
          <w:lang w:val="en-GB"/>
        </w:rPr>
        <w:t xml:space="preserve">Science and Public Policy, </w:t>
      </w:r>
      <w:r w:rsidRPr="00D84D36">
        <w:rPr>
          <w:rFonts w:ascii="Cambria" w:hAnsi="Cambria"/>
          <w:lang w:val="en-GB"/>
        </w:rPr>
        <w:t xml:space="preserve">24(1), 2-5.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Etzkowitz, H., and Leydesdorff, L. (2000). The Dynamics of Innovation: From National Systems and “Mode 2” to a Triple Helix of University–industry–government Relations. </w:t>
      </w:r>
      <w:r w:rsidRPr="00D84D36">
        <w:rPr>
          <w:rFonts w:ascii="Cambria" w:hAnsi="Cambria"/>
          <w:i/>
          <w:iCs/>
          <w:lang w:val="en-GB"/>
        </w:rPr>
        <w:t xml:space="preserve">Research Policy, </w:t>
      </w:r>
      <w:r w:rsidRPr="00D84D36">
        <w:rPr>
          <w:rFonts w:ascii="Cambria" w:hAnsi="Cambria"/>
          <w:lang w:val="en-GB"/>
        </w:rPr>
        <w:t xml:space="preserve">29(2), 109-123. </w:t>
      </w:r>
    </w:p>
    <w:p w:rsidR="003111B8" w:rsidRPr="00D84D36" w:rsidRDefault="003111B8" w:rsidP="00D84D36">
      <w:pPr>
        <w:pStyle w:val="NormalWeb"/>
        <w:ind w:left="567" w:hanging="567"/>
        <w:contextualSpacing/>
        <w:rPr>
          <w:rFonts w:ascii="Cambria" w:hAnsi="Cambria"/>
          <w:lang w:val="en-GB"/>
        </w:rPr>
      </w:pPr>
      <w:r w:rsidRPr="00D84D36">
        <w:rPr>
          <w:rFonts w:ascii="Cambria" w:hAnsi="Cambria"/>
          <w:lang w:val="en-GB"/>
        </w:rPr>
        <w:t xml:space="preserve">Foray, D. (2015). </w:t>
      </w:r>
      <w:r w:rsidRPr="00D84D36">
        <w:rPr>
          <w:rFonts w:ascii="Cambria" w:hAnsi="Cambria"/>
          <w:i/>
          <w:iCs/>
          <w:lang w:val="en-GB"/>
        </w:rPr>
        <w:t xml:space="preserve">Smart Specialisation: Opportunities and Challenges for Regional Innovation Policy. </w:t>
      </w:r>
      <w:r w:rsidRPr="00D84D36">
        <w:rPr>
          <w:rFonts w:ascii="Cambria" w:hAnsi="Cambria"/>
          <w:lang w:val="en-GB"/>
        </w:rPr>
        <w:t xml:space="preserve">Abingdon: Routledge. </w:t>
      </w:r>
    </w:p>
    <w:p w:rsidR="003111B8" w:rsidRPr="00D84D36" w:rsidRDefault="003111B8" w:rsidP="00D84D36">
      <w:pPr>
        <w:pStyle w:val="NormalWeb"/>
        <w:ind w:left="567" w:hanging="567"/>
        <w:contextualSpacing/>
        <w:rPr>
          <w:rFonts w:ascii="Cambria" w:hAnsi="Cambria"/>
          <w:lang w:val="en-GB"/>
        </w:rPr>
      </w:pPr>
      <w:r w:rsidRPr="00D84D36">
        <w:rPr>
          <w:rFonts w:ascii="Cambria" w:hAnsi="Cambria"/>
          <w:lang w:val="en-GB"/>
        </w:rPr>
        <w:t xml:space="preserve">Foray, D., Goddard, J., Goenaga Beldarrain, X., Landabaso, M., McCann, P., Morgan, K., Nauwelaers, C., and Ortega-Argilés, R. (2012). </w:t>
      </w:r>
      <w:r w:rsidRPr="00D84D36">
        <w:rPr>
          <w:rFonts w:ascii="Cambria" w:hAnsi="Cambria"/>
          <w:i/>
          <w:iCs/>
          <w:lang w:val="en-GB"/>
        </w:rPr>
        <w:t xml:space="preserve">Guide to Research and Innovation Strategies for Smart Specialisations (RIS3). </w:t>
      </w:r>
      <w:r w:rsidRPr="00D84D36">
        <w:rPr>
          <w:rFonts w:ascii="Cambria" w:hAnsi="Cambria"/>
          <w:lang w:val="en-GB"/>
        </w:rPr>
        <w:t xml:space="preserve">Luxembourg: Publications Office of the European Union.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Joanneum Research, and Austrian Federal Ministry of Science, Research and Economy (2012). The RIS3 KEY for Self-Assessment. Austrian Federal Ministry of Science, Research and Economy. https://era.gv.at/object/document/494/attach/2014_August_ris3_englisch.pdf.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Kourtit, K., Deakin, M., Caragliu, A., Del Bo, C., Nijkamp, P., Lombardi, P., &amp; Giordano, S. (2014). An Advanced Triple Helix Network Framework for Smart Cities Performance. In M. Deakin </w:t>
      </w:r>
      <w:r w:rsidRPr="00D84D36">
        <w:rPr>
          <w:rFonts w:ascii="Cambria" w:hAnsi="Cambria"/>
          <w:lang w:val="en-GB"/>
        </w:rPr>
        <w:lastRenderedPageBreak/>
        <w:t xml:space="preserve">(Ed.), </w:t>
      </w:r>
      <w:r w:rsidRPr="00D84D36">
        <w:rPr>
          <w:rFonts w:ascii="Cambria" w:hAnsi="Cambria"/>
          <w:i/>
          <w:iCs/>
          <w:lang w:val="en-GB"/>
        </w:rPr>
        <w:t xml:space="preserve">Smart Cities: Governing, Modelling and Analyzing the Transition </w:t>
      </w:r>
      <w:r w:rsidRPr="00D84D36">
        <w:rPr>
          <w:rFonts w:ascii="Cambria" w:hAnsi="Cambria"/>
          <w:lang w:val="en-GB"/>
        </w:rPr>
        <w:t xml:space="preserve">(pp. 196-216). New York, NY: Routledge.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Leydesdorff, L. (2005). Evaluation of Research and Evolution of Science Indicators. </w:t>
      </w:r>
      <w:r w:rsidRPr="00D84D36">
        <w:rPr>
          <w:rFonts w:ascii="Cambria" w:hAnsi="Cambria"/>
          <w:i/>
          <w:iCs/>
          <w:lang w:val="en-GB"/>
        </w:rPr>
        <w:t xml:space="preserve">Current Science, </w:t>
      </w:r>
      <w:r w:rsidRPr="00D84D36">
        <w:rPr>
          <w:rFonts w:ascii="Cambria" w:hAnsi="Cambria"/>
          <w:lang w:val="en-GB"/>
        </w:rPr>
        <w:t xml:space="preserve">89(9), 1510-1517.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Leydesdorff, L., and Deakin, M. (2011). The Triple-helix Model of Smart Cities: A Neo- evolutionary Perspective. </w:t>
      </w:r>
      <w:r w:rsidRPr="00D84D36">
        <w:rPr>
          <w:rFonts w:ascii="Cambria" w:hAnsi="Cambria"/>
          <w:i/>
          <w:iCs/>
          <w:lang w:val="en-GB"/>
        </w:rPr>
        <w:t xml:space="preserve">Journal of Urban Technology, </w:t>
      </w:r>
      <w:r w:rsidRPr="00D84D36">
        <w:rPr>
          <w:rFonts w:ascii="Cambria" w:hAnsi="Cambria"/>
          <w:lang w:val="en-GB"/>
        </w:rPr>
        <w:t xml:space="preserve">18(2), 53-63. </w:t>
      </w:r>
    </w:p>
    <w:p w:rsidR="003111B8" w:rsidRPr="00D84D36" w:rsidRDefault="003111B8" w:rsidP="00D84D36">
      <w:pPr>
        <w:pStyle w:val="NormalWeb"/>
        <w:ind w:left="567" w:hanging="567"/>
        <w:rPr>
          <w:rFonts w:ascii="Cambria" w:hAnsi="Cambria"/>
          <w:lang w:val="en-GB"/>
        </w:rPr>
      </w:pPr>
      <w:r w:rsidRPr="00D84D36">
        <w:rPr>
          <w:rFonts w:ascii="Cambria" w:hAnsi="Cambria"/>
          <w:lang w:val="en-GB"/>
        </w:rPr>
        <w:t xml:space="preserve">Leydesdorff, L., and Meyer, M. (2006). Triple Helix Indicators of Knowledge-based Innovation Systems: Introduction to the Special Issue. </w:t>
      </w:r>
      <w:r w:rsidRPr="00D84D36">
        <w:rPr>
          <w:rFonts w:ascii="Cambria" w:hAnsi="Cambria"/>
          <w:i/>
          <w:iCs/>
          <w:lang w:val="en-GB"/>
        </w:rPr>
        <w:t xml:space="preserve">Research Policy, </w:t>
      </w:r>
      <w:r w:rsidRPr="00D84D36">
        <w:rPr>
          <w:rFonts w:ascii="Cambria" w:hAnsi="Cambria"/>
          <w:lang w:val="en-GB"/>
        </w:rPr>
        <w:t xml:space="preserve">35(10), 1441-1449. </w:t>
      </w:r>
    </w:p>
    <w:p w:rsidR="003111B8" w:rsidRPr="00D84D36" w:rsidRDefault="003111B8" w:rsidP="00D84D36">
      <w:pPr>
        <w:pStyle w:val="NormalWeb"/>
        <w:ind w:left="567" w:hanging="567"/>
        <w:contextualSpacing/>
        <w:rPr>
          <w:rFonts w:ascii="Cambria" w:hAnsi="Cambria"/>
          <w:lang w:val="en-GB"/>
        </w:rPr>
      </w:pPr>
      <w:r w:rsidRPr="00D84D36">
        <w:rPr>
          <w:rFonts w:ascii="Cambria" w:hAnsi="Cambria"/>
          <w:lang w:val="en-GB"/>
        </w:rPr>
        <w:t xml:space="preserve">Lombardi, P., Giordano, S., Caragliu, A., Del Bo, C., Deakin, M., Nijkamp, P., Kourtit, K., and Farouh, H. (2012a). An Advanced Triple Helix Network Model for Smart Cities Performance. In O. Yalciner Ercoskun (Ed.), </w:t>
      </w:r>
      <w:r w:rsidRPr="00D84D36">
        <w:rPr>
          <w:rFonts w:ascii="Cambria" w:hAnsi="Cambria"/>
          <w:i/>
          <w:iCs/>
          <w:lang w:val="en-GB"/>
        </w:rPr>
        <w:t xml:space="preserve">Green and Ecological Technologies for Urban Planning: Creating Smart Cities </w:t>
      </w:r>
      <w:r w:rsidRPr="00D84D36">
        <w:rPr>
          <w:rFonts w:ascii="Cambria" w:hAnsi="Cambria"/>
          <w:lang w:val="en-GB"/>
        </w:rPr>
        <w:t xml:space="preserve">(pp. 59-73). Hershey, PA: IGI Global.  </w:t>
      </w:r>
    </w:p>
    <w:p w:rsidR="003111B8" w:rsidRPr="00D84D36" w:rsidRDefault="003111B8" w:rsidP="00D84D36">
      <w:pPr>
        <w:pStyle w:val="NormalWeb"/>
        <w:ind w:left="567" w:hanging="567"/>
        <w:contextualSpacing/>
        <w:rPr>
          <w:rFonts w:ascii="Cambria" w:hAnsi="Cambria"/>
          <w:lang w:val="en-GB"/>
        </w:rPr>
      </w:pPr>
      <w:r w:rsidRPr="00D84D36">
        <w:rPr>
          <w:rFonts w:ascii="Cambria" w:hAnsi="Cambria"/>
          <w:lang w:val="en-GB"/>
        </w:rPr>
        <w:t xml:space="preserve">Lombardi, P., Giordano, S., Farouh, H., and Yousef, W. (2012b). Modelling the Smart City Performance. </w:t>
      </w:r>
      <w:r w:rsidRPr="00D84D36">
        <w:rPr>
          <w:rFonts w:ascii="Cambria" w:hAnsi="Cambria"/>
          <w:i/>
          <w:iCs/>
          <w:lang w:val="en-GB"/>
        </w:rPr>
        <w:t xml:space="preserve">Innovation: The European Journal of Social Science Research, </w:t>
      </w:r>
      <w:r w:rsidRPr="00D84D36">
        <w:rPr>
          <w:rFonts w:ascii="Cambria" w:hAnsi="Cambria"/>
          <w:lang w:val="en-GB"/>
        </w:rPr>
        <w:t xml:space="preserve">25(2), 137- 149. </w:t>
      </w:r>
    </w:p>
    <w:p w:rsidR="003111B8" w:rsidRPr="00D84D36" w:rsidRDefault="003111B8" w:rsidP="00D84D36">
      <w:pPr>
        <w:pStyle w:val="NormalWeb"/>
        <w:ind w:left="567" w:hanging="567"/>
        <w:contextualSpacing/>
        <w:rPr>
          <w:rFonts w:ascii="Cambria" w:hAnsi="Cambria"/>
          <w:lang w:val="en-GB"/>
        </w:rPr>
      </w:pPr>
    </w:p>
    <w:p w:rsidR="00FE7D60" w:rsidRPr="00D84D36" w:rsidRDefault="00FE7D60" w:rsidP="00D84D36">
      <w:pPr>
        <w:pStyle w:val="NormalWeb"/>
        <w:ind w:left="567" w:hanging="567"/>
        <w:contextualSpacing/>
        <w:rPr>
          <w:rFonts w:ascii="Cambria" w:hAnsi="Cambria"/>
          <w:lang w:val="en-GB"/>
        </w:rPr>
      </w:pPr>
    </w:p>
    <w:p w:rsidR="00FE7D60" w:rsidRPr="00D84D36" w:rsidRDefault="00FE7D60" w:rsidP="00D84D36">
      <w:pPr>
        <w:pStyle w:val="NormalWeb"/>
        <w:ind w:left="567" w:hanging="567"/>
        <w:contextualSpacing/>
        <w:rPr>
          <w:rFonts w:ascii="Cambria" w:hAnsi="Cambria"/>
          <w:b/>
          <w:lang w:val="en-GB"/>
        </w:rPr>
      </w:pPr>
      <w:r w:rsidRPr="00D84D36">
        <w:rPr>
          <w:rFonts w:ascii="Cambria" w:hAnsi="Cambria"/>
          <w:b/>
          <w:lang w:val="en-GB"/>
        </w:rPr>
        <w:t>(Section 7)</w:t>
      </w:r>
    </w:p>
    <w:p w:rsidR="00FE7D60" w:rsidRPr="00D84D36" w:rsidRDefault="00FE7D60" w:rsidP="00D84D36">
      <w:pPr>
        <w:pStyle w:val="NormalWeb"/>
        <w:ind w:left="567" w:hanging="567"/>
        <w:contextualSpacing/>
        <w:rPr>
          <w:rFonts w:ascii="Cambria" w:hAnsi="Cambria"/>
          <w:lang w:val="en-GB"/>
        </w:rPr>
      </w:pPr>
    </w:p>
    <w:p w:rsidR="00FE7D60" w:rsidRDefault="00FE7D60" w:rsidP="003E2AA6">
      <w:pPr>
        <w:spacing w:after="0" w:line="240" w:lineRule="auto"/>
        <w:ind w:left="567" w:hanging="567"/>
        <w:rPr>
          <w:rFonts w:ascii="Cambria" w:hAnsi="Cambria" w:cs="Arial"/>
        </w:rPr>
      </w:pPr>
      <w:r w:rsidRPr="00D84D36">
        <w:rPr>
          <w:rFonts w:ascii="Cambria" w:hAnsi="Cambria" w:cs="Arial"/>
        </w:rPr>
        <w:t>Kleibrink, A. and Edurne, M. (2018). “The making of responsive innovation policies: varieties of evidence and their contestation in the Basque Country”. Palgrave Communications, volume 4, (74).</w:t>
      </w:r>
    </w:p>
    <w:p w:rsidR="00BF1429" w:rsidRPr="00BF1429" w:rsidRDefault="00BF1429" w:rsidP="00BF1429">
      <w:pPr>
        <w:spacing w:after="0" w:line="240" w:lineRule="auto"/>
        <w:ind w:left="567" w:hanging="567"/>
        <w:rPr>
          <w:rFonts w:ascii="Cambria" w:hAnsi="Cambria" w:cs="Arial"/>
          <w:color w:val="222222"/>
          <w:szCs w:val="20"/>
          <w:shd w:val="clear" w:color="auto" w:fill="FFFFFF"/>
        </w:rPr>
      </w:pPr>
      <w:r w:rsidRPr="00BF1429">
        <w:rPr>
          <w:rFonts w:ascii="Cambria" w:hAnsi="Cambria" w:cs="Arial"/>
          <w:color w:val="222222"/>
          <w:szCs w:val="20"/>
          <w:shd w:val="clear" w:color="auto" w:fill="FFFFFF"/>
        </w:rPr>
        <w:t>Kuhlang, P., Edtmayr, T., &amp; Sihn, W. (2011). Methodical approach to increase productivity and reduce lead time in assembly and production-logistic processes. </w:t>
      </w:r>
      <w:r w:rsidRPr="00BF1429">
        <w:rPr>
          <w:rFonts w:ascii="Cambria" w:hAnsi="Cambria" w:cs="Arial"/>
          <w:i/>
          <w:iCs/>
          <w:color w:val="222222"/>
          <w:szCs w:val="20"/>
          <w:shd w:val="clear" w:color="auto" w:fill="FFFFFF"/>
        </w:rPr>
        <w:t>CIRP Journal of Manufacturing Science and Technology</w:t>
      </w:r>
      <w:r w:rsidRPr="00BF1429">
        <w:rPr>
          <w:rFonts w:ascii="Cambria" w:hAnsi="Cambria" w:cs="Arial"/>
          <w:color w:val="222222"/>
          <w:szCs w:val="20"/>
          <w:shd w:val="clear" w:color="auto" w:fill="FFFFFF"/>
        </w:rPr>
        <w:t>, </w:t>
      </w:r>
      <w:r w:rsidRPr="00BF1429">
        <w:rPr>
          <w:rFonts w:ascii="Cambria" w:hAnsi="Cambria" w:cs="Arial"/>
          <w:i/>
          <w:iCs/>
          <w:color w:val="222222"/>
          <w:szCs w:val="20"/>
          <w:shd w:val="clear" w:color="auto" w:fill="FFFFFF"/>
        </w:rPr>
        <w:t>4</w:t>
      </w:r>
      <w:r w:rsidRPr="00BF1429">
        <w:rPr>
          <w:rFonts w:ascii="Cambria" w:hAnsi="Cambria" w:cs="Arial"/>
          <w:color w:val="222222"/>
          <w:szCs w:val="20"/>
          <w:shd w:val="clear" w:color="auto" w:fill="FFFFFF"/>
        </w:rPr>
        <w:t>(1), 24-32.</w:t>
      </w:r>
    </w:p>
    <w:p w:rsidR="00BF1429" w:rsidRPr="00BF1429" w:rsidRDefault="00BF1429" w:rsidP="00BF1429">
      <w:pPr>
        <w:spacing w:after="0" w:line="240" w:lineRule="auto"/>
        <w:ind w:left="567" w:hanging="567"/>
        <w:rPr>
          <w:rFonts w:ascii="Cambria" w:hAnsi="Cambria" w:cs="Arial"/>
          <w:color w:val="222222"/>
          <w:szCs w:val="20"/>
          <w:shd w:val="clear" w:color="auto" w:fill="FFFFFF"/>
        </w:rPr>
      </w:pPr>
      <w:r w:rsidRPr="00BF1429">
        <w:rPr>
          <w:rFonts w:ascii="Cambria" w:hAnsi="Cambria" w:cs="Arial"/>
          <w:color w:val="222222"/>
          <w:szCs w:val="20"/>
          <w:shd w:val="clear" w:color="auto" w:fill="FFFFFF"/>
        </w:rPr>
        <w:t>Ash, C. G., &amp; Burn, J. M. (2003). Assessing the benefits from e-business transformation through effective enterprise management. </w:t>
      </w:r>
      <w:r w:rsidRPr="00BF1429">
        <w:rPr>
          <w:rFonts w:ascii="Cambria" w:hAnsi="Cambria" w:cs="Arial"/>
          <w:i/>
          <w:iCs/>
          <w:color w:val="222222"/>
          <w:szCs w:val="20"/>
          <w:shd w:val="clear" w:color="auto" w:fill="FFFFFF"/>
        </w:rPr>
        <w:t>European Journal of Information Systems</w:t>
      </w:r>
      <w:r w:rsidRPr="00BF1429">
        <w:rPr>
          <w:rFonts w:ascii="Cambria" w:hAnsi="Cambria" w:cs="Arial"/>
          <w:color w:val="222222"/>
          <w:szCs w:val="20"/>
          <w:shd w:val="clear" w:color="auto" w:fill="FFFFFF"/>
        </w:rPr>
        <w:t>, </w:t>
      </w:r>
      <w:r w:rsidRPr="00BF1429">
        <w:rPr>
          <w:rFonts w:ascii="Cambria" w:hAnsi="Cambria" w:cs="Arial"/>
          <w:i/>
          <w:iCs/>
          <w:color w:val="222222"/>
          <w:szCs w:val="20"/>
          <w:shd w:val="clear" w:color="auto" w:fill="FFFFFF"/>
        </w:rPr>
        <w:t>12</w:t>
      </w:r>
      <w:r w:rsidRPr="00BF1429">
        <w:rPr>
          <w:rFonts w:ascii="Cambria" w:hAnsi="Cambria" w:cs="Arial"/>
          <w:color w:val="222222"/>
          <w:szCs w:val="20"/>
          <w:shd w:val="clear" w:color="auto" w:fill="FFFFFF"/>
        </w:rPr>
        <w:t>(4), 297-308.</w:t>
      </w:r>
    </w:p>
    <w:p w:rsidR="00BF1429" w:rsidRPr="00BF1429" w:rsidRDefault="00BF1429" w:rsidP="00BF1429">
      <w:pPr>
        <w:spacing w:after="0" w:line="240" w:lineRule="auto"/>
        <w:ind w:left="567" w:hanging="567"/>
        <w:rPr>
          <w:rFonts w:ascii="Cambria" w:hAnsi="Cambria" w:cs="Arial"/>
          <w:sz w:val="24"/>
        </w:rPr>
      </w:pPr>
      <w:r w:rsidRPr="00BF1429">
        <w:rPr>
          <w:rFonts w:ascii="Cambria" w:hAnsi="Cambria" w:cs="Arial"/>
          <w:color w:val="222222"/>
          <w:szCs w:val="20"/>
          <w:shd w:val="clear" w:color="auto" w:fill="FFFFFF"/>
        </w:rPr>
        <w:t>Stevens, E., &amp; Dimitriadis, S. (2005). Managing the new service development process: towards a systemic model. </w:t>
      </w:r>
      <w:r w:rsidRPr="00BF1429">
        <w:rPr>
          <w:rFonts w:ascii="Cambria" w:hAnsi="Cambria" w:cs="Arial"/>
          <w:i/>
          <w:iCs/>
          <w:color w:val="222222"/>
          <w:szCs w:val="20"/>
          <w:shd w:val="clear" w:color="auto" w:fill="FFFFFF"/>
        </w:rPr>
        <w:t>European Journal of Marketing</w:t>
      </w:r>
      <w:r w:rsidRPr="00BF1429">
        <w:rPr>
          <w:rFonts w:ascii="Cambria" w:hAnsi="Cambria" w:cs="Arial"/>
          <w:color w:val="222222"/>
          <w:szCs w:val="20"/>
          <w:shd w:val="clear" w:color="auto" w:fill="FFFFFF"/>
        </w:rPr>
        <w:t>, </w:t>
      </w:r>
      <w:r w:rsidRPr="00BF1429">
        <w:rPr>
          <w:rFonts w:ascii="Cambria" w:hAnsi="Cambria" w:cs="Arial"/>
          <w:i/>
          <w:iCs/>
          <w:color w:val="222222"/>
          <w:szCs w:val="20"/>
          <w:shd w:val="clear" w:color="auto" w:fill="FFFFFF"/>
        </w:rPr>
        <w:t>39</w:t>
      </w:r>
      <w:r w:rsidRPr="00BF1429">
        <w:rPr>
          <w:rFonts w:ascii="Cambria" w:hAnsi="Cambria" w:cs="Arial"/>
          <w:color w:val="222222"/>
          <w:szCs w:val="20"/>
          <w:shd w:val="clear" w:color="auto" w:fill="FFFFFF"/>
        </w:rPr>
        <w:t>(1/2), 175-198.</w:t>
      </w:r>
    </w:p>
    <w:p w:rsidR="001F246E" w:rsidRPr="00D84D36" w:rsidRDefault="001F246E" w:rsidP="00BF1429">
      <w:pPr>
        <w:pStyle w:val="NormalWeb"/>
        <w:ind w:left="567" w:hanging="567"/>
        <w:rPr>
          <w:rFonts w:ascii="Cambria" w:hAnsi="Cambria"/>
          <w:lang w:val="en-GB"/>
        </w:rPr>
      </w:pPr>
      <w:r w:rsidRPr="00D84D36">
        <w:rPr>
          <w:rFonts w:ascii="Cambria" w:hAnsi="Cambria"/>
          <w:lang w:val="en-GB"/>
        </w:rPr>
        <w:t xml:space="preserve">Carayannis, E. G., and Campbell, D. (2012). </w:t>
      </w:r>
      <w:r w:rsidRPr="00D84D36">
        <w:rPr>
          <w:rFonts w:ascii="Cambria" w:hAnsi="Cambria"/>
          <w:i/>
          <w:iCs/>
          <w:lang w:val="en-GB"/>
        </w:rPr>
        <w:t xml:space="preserve">Mode 3 Knowledge Production in Quadruple Helix Innovation Systems: 21st-Century Democracy, Innovation, and Entrepreneurship for Development. </w:t>
      </w:r>
      <w:r w:rsidRPr="00D84D36">
        <w:rPr>
          <w:rFonts w:ascii="Cambria" w:hAnsi="Cambria"/>
          <w:lang w:val="en-GB"/>
        </w:rPr>
        <w:t xml:space="preserve">New York City, NY: Springer. </w:t>
      </w:r>
    </w:p>
    <w:p w:rsidR="001F246E" w:rsidRPr="00D84D36" w:rsidRDefault="001F246E" w:rsidP="00D84D36">
      <w:pPr>
        <w:pStyle w:val="NormalWeb"/>
        <w:ind w:left="567" w:hanging="567"/>
        <w:rPr>
          <w:rFonts w:ascii="Cambria" w:hAnsi="Cambria"/>
          <w:lang w:val="en-GB"/>
        </w:rPr>
      </w:pPr>
      <w:r w:rsidRPr="00D84D36">
        <w:rPr>
          <w:rFonts w:ascii="Cambria" w:hAnsi="Cambria"/>
          <w:lang w:val="en-GB"/>
        </w:rPr>
        <w:t xml:space="preserve">Carayannis, E. G., and Campbell, D. (2014). Developed Democracies Versus Emerging Autocracies: Arts, Democracy, and Innovation in Quadruple Helix Innovation Systems. </w:t>
      </w:r>
      <w:r w:rsidRPr="00D84D36">
        <w:rPr>
          <w:rFonts w:ascii="Cambria" w:hAnsi="Cambria"/>
          <w:i/>
          <w:iCs/>
          <w:lang w:val="en-GB"/>
        </w:rPr>
        <w:t xml:space="preserve">Journal of Innovation and Entrepreneurship, </w:t>
      </w:r>
      <w:r w:rsidRPr="00D84D36">
        <w:rPr>
          <w:rFonts w:ascii="Cambria" w:hAnsi="Cambria"/>
          <w:lang w:val="en-GB"/>
        </w:rPr>
        <w:t xml:space="preserve">3(12), 1-23. </w:t>
      </w:r>
    </w:p>
    <w:p w:rsidR="001F246E" w:rsidRPr="00D84D36" w:rsidRDefault="001F246E" w:rsidP="00D84D36">
      <w:pPr>
        <w:pStyle w:val="NormalWeb"/>
        <w:ind w:left="567" w:hanging="567"/>
        <w:rPr>
          <w:rFonts w:ascii="Cambria" w:hAnsi="Cambria"/>
          <w:lang w:val="en-GB"/>
        </w:rPr>
      </w:pPr>
      <w:r w:rsidRPr="00D84D36">
        <w:rPr>
          <w:rFonts w:ascii="Cambria" w:hAnsi="Cambria"/>
          <w:lang w:val="en-GB"/>
        </w:rPr>
        <w:t xml:space="preserve">Deakin, M. (2014). Smart Cities: The State-of-the-art and Governance Challenge. </w:t>
      </w:r>
      <w:r w:rsidRPr="00D84D36">
        <w:rPr>
          <w:rFonts w:ascii="Cambria" w:hAnsi="Cambria"/>
          <w:i/>
          <w:iCs/>
          <w:lang w:val="en-GB"/>
        </w:rPr>
        <w:t xml:space="preserve">Triple Helix, </w:t>
      </w:r>
      <w:r w:rsidRPr="00D84D36">
        <w:rPr>
          <w:rFonts w:ascii="Cambria" w:hAnsi="Cambria"/>
          <w:lang w:val="en-GB"/>
        </w:rPr>
        <w:t xml:space="preserve">1(7), 1-16. </w:t>
      </w:r>
    </w:p>
    <w:p w:rsidR="001F246E" w:rsidRPr="00D84D36" w:rsidRDefault="001F246E" w:rsidP="00D84D36">
      <w:pPr>
        <w:pStyle w:val="NormalWeb"/>
        <w:ind w:left="567" w:hanging="567"/>
        <w:rPr>
          <w:rFonts w:ascii="Cambria" w:hAnsi="Cambria"/>
          <w:lang w:val="en-GB"/>
        </w:rPr>
      </w:pPr>
      <w:r w:rsidRPr="00D84D36">
        <w:rPr>
          <w:rFonts w:ascii="Cambria" w:hAnsi="Cambria"/>
          <w:lang w:val="en-GB"/>
        </w:rPr>
        <w:t xml:space="preserve">Deakin, M. (2015). Smart Cities and the Internet: From Mode 2 to Triple Helix Accounts of Their Evolution. In A. Vesco, and F. Ferrero (Eds.), </w:t>
      </w:r>
      <w:r w:rsidRPr="00D84D36">
        <w:rPr>
          <w:rFonts w:ascii="Cambria" w:hAnsi="Cambria"/>
          <w:i/>
          <w:iCs/>
          <w:lang w:val="en-GB"/>
        </w:rPr>
        <w:t xml:space="preserve">Handbook of Research on Social, Economic, and Environmental Sustainability in the Development of Smart Cities </w:t>
      </w:r>
      <w:r w:rsidRPr="00D84D36">
        <w:rPr>
          <w:rFonts w:ascii="Cambria" w:hAnsi="Cambria"/>
          <w:lang w:val="en-GB"/>
        </w:rPr>
        <w:t xml:space="preserve">(pp. 26- 43). Hershey, PA: IGI Global. </w:t>
      </w:r>
    </w:p>
    <w:p w:rsidR="001F246E" w:rsidRPr="00D84D36" w:rsidRDefault="001F246E" w:rsidP="00D84D36">
      <w:pPr>
        <w:pStyle w:val="NormalWeb"/>
        <w:ind w:left="567" w:hanging="567"/>
        <w:rPr>
          <w:rFonts w:ascii="Cambria" w:hAnsi="Cambria"/>
          <w:lang w:val="en-GB"/>
        </w:rPr>
      </w:pPr>
      <w:r w:rsidRPr="00D84D36">
        <w:rPr>
          <w:rFonts w:ascii="Cambria" w:hAnsi="Cambria"/>
          <w:lang w:val="en-GB"/>
        </w:rPr>
        <w:t xml:space="preserve">Deakin, M., and Reid, A. (2016). Smart Cities: Under-gridding the Sustainability of City- districts As Energy Efficient-low Carbon Zones. </w:t>
      </w:r>
      <w:r w:rsidRPr="00D84D36">
        <w:rPr>
          <w:rFonts w:ascii="Cambria" w:hAnsi="Cambria"/>
          <w:i/>
          <w:iCs/>
          <w:lang w:val="en-GB"/>
        </w:rPr>
        <w:t xml:space="preserve">Journal of Cleaner Production, </w:t>
      </w:r>
      <w:r w:rsidRPr="00D84D36">
        <w:rPr>
          <w:rFonts w:ascii="Cambria" w:hAnsi="Cambria"/>
          <w:lang w:val="en-GB"/>
        </w:rPr>
        <w:t xml:space="preserve">173, 39- 48. </w:t>
      </w:r>
    </w:p>
    <w:p w:rsidR="001F246E" w:rsidRPr="00D84D36" w:rsidRDefault="001F246E" w:rsidP="00D84D36">
      <w:pPr>
        <w:pStyle w:val="NormalWeb"/>
        <w:ind w:left="567" w:hanging="567"/>
        <w:rPr>
          <w:rFonts w:ascii="Cambria" w:hAnsi="Cambria"/>
          <w:lang w:val="en-GB"/>
        </w:rPr>
      </w:pPr>
      <w:r w:rsidRPr="00D84D36">
        <w:rPr>
          <w:rFonts w:ascii="Cambria" w:hAnsi="Cambria"/>
          <w:lang w:val="en-GB"/>
        </w:rPr>
        <w:t>Deakin, M.  (2018</w:t>
      </w:r>
      <w:r w:rsidRPr="00D84D36">
        <w:rPr>
          <w:rFonts w:ascii="Cambria" w:hAnsi="Cambria"/>
          <w:u w:val="single"/>
          <w:lang w:val="en-GB"/>
        </w:rPr>
        <w:t>)</w:t>
      </w:r>
      <w:r w:rsidRPr="00D84D36">
        <w:rPr>
          <w:rFonts w:ascii="Cambria" w:eastAsia="Times New Roman" w:hAnsi="Cambria"/>
          <w:u w:val="single"/>
          <w:lang w:val="en-GB"/>
        </w:rPr>
        <w:t xml:space="preserve"> </w:t>
      </w:r>
      <w:hyperlink r:id="rId28" w:history="1">
        <w:r w:rsidRPr="00D84D36">
          <w:rPr>
            <w:rStyle w:val="Hyperlink"/>
            <w:rFonts w:ascii="Cambria" w:eastAsia="Times New Roman" w:hAnsi="Cambria"/>
            <w:lang w:val="en-GB"/>
          </w:rPr>
          <w:t>Smart Cities, Metrics and the Future Internet-Based Governance of Urban and Regional Innovations</w:t>
        </w:r>
      </w:hyperlink>
      <w:r w:rsidRPr="00D84D36">
        <w:rPr>
          <w:rFonts w:ascii="Cambria" w:eastAsia="Times New Roman" w:hAnsi="Cambria"/>
          <w:u w:val="single"/>
          <w:lang w:val="en-GB"/>
        </w:rPr>
        <w:t>,</w:t>
      </w:r>
      <w:r w:rsidRPr="00D84D36">
        <w:rPr>
          <w:rFonts w:ascii="Cambria" w:eastAsia="Times New Roman" w:hAnsi="Cambria"/>
          <w:lang w:val="en-GB"/>
        </w:rPr>
        <w:t xml:space="preserve"> 17 (1): 39-56.</w:t>
      </w:r>
    </w:p>
    <w:p w:rsidR="001F246E" w:rsidRPr="00D84D36" w:rsidRDefault="001F246E" w:rsidP="00D84D36">
      <w:pPr>
        <w:pStyle w:val="NormalWeb"/>
        <w:ind w:left="567" w:hanging="567"/>
        <w:rPr>
          <w:rFonts w:ascii="Cambria" w:hAnsi="Cambria"/>
          <w:lang w:val="en-GB"/>
        </w:rPr>
      </w:pPr>
      <w:r w:rsidRPr="00D84D36">
        <w:rPr>
          <w:rFonts w:ascii="Cambria" w:hAnsi="Cambria"/>
          <w:lang w:val="en-GB"/>
        </w:rPr>
        <w:t xml:space="preserve">Kourtit, K., Deakin, M., Caragliu, A., Del Bo, C., Nijkamp, P., Lombardi, P., &amp; Giordano, S. (2014). An Advanced Triple Helix Network Framework for Smart Cities Performance. In M. Deakin (Ed.), </w:t>
      </w:r>
      <w:r w:rsidRPr="00D84D36">
        <w:rPr>
          <w:rFonts w:ascii="Cambria" w:hAnsi="Cambria"/>
          <w:i/>
          <w:iCs/>
          <w:lang w:val="en-GB"/>
        </w:rPr>
        <w:t xml:space="preserve">Smart Cities: Governing, Modelling and Analyzing the Transition </w:t>
      </w:r>
      <w:r w:rsidRPr="00D84D36">
        <w:rPr>
          <w:rFonts w:ascii="Cambria" w:hAnsi="Cambria"/>
          <w:lang w:val="en-GB"/>
        </w:rPr>
        <w:t xml:space="preserve">(pp. 196-216). New York, NY: Routledge. </w:t>
      </w:r>
    </w:p>
    <w:p w:rsidR="00F3161B" w:rsidRPr="00D84D36" w:rsidRDefault="00F3161B" w:rsidP="00D84D36">
      <w:pPr>
        <w:pStyle w:val="NormalWeb"/>
        <w:ind w:left="567" w:hanging="567"/>
        <w:contextualSpacing/>
        <w:rPr>
          <w:rFonts w:ascii="Cambria" w:hAnsi="Cambria"/>
          <w:lang w:val="en-GB"/>
        </w:rPr>
      </w:pPr>
    </w:p>
    <w:p w:rsidR="00387ECD" w:rsidRPr="00D84D36" w:rsidRDefault="00387ECD" w:rsidP="00D84D36">
      <w:pPr>
        <w:pStyle w:val="NormalWeb"/>
        <w:ind w:left="567" w:hanging="567"/>
        <w:contextualSpacing/>
        <w:rPr>
          <w:rFonts w:ascii="Cambria" w:hAnsi="Cambria"/>
          <w:lang w:val="en-GB"/>
        </w:rPr>
      </w:pPr>
    </w:p>
    <w:p w:rsidR="00D67D03" w:rsidRDefault="00D84D36" w:rsidP="00507656">
      <w:pPr>
        <w:rPr>
          <w:b/>
          <w:u w:val="single"/>
        </w:rPr>
      </w:pPr>
      <w:r>
        <w:rPr>
          <w:b/>
          <w:u w:val="single"/>
        </w:rPr>
        <w:br w:type="page"/>
      </w:r>
    </w:p>
    <w:p w:rsidR="00D67D03" w:rsidRDefault="00D67D03" w:rsidP="00507656">
      <w:pPr>
        <w:rPr>
          <w:b/>
          <w:u w:val="single"/>
        </w:rPr>
      </w:pPr>
    </w:p>
    <w:p w:rsidR="00D67D03" w:rsidRDefault="00D67D03" w:rsidP="00507656">
      <w:pPr>
        <w:rPr>
          <w:b/>
          <w:u w:val="single"/>
        </w:rPr>
      </w:pPr>
    </w:p>
    <w:p w:rsidR="00D67D03" w:rsidRDefault="00D67D03" w:rsidP="00507656">
      <w:pPr>
        <w:rPr>
          <w:b/>
          <w:u w:val="single"/>
        </w:rPr>
      </w:pPr>
    </w:p>
    <w:p w:rsidR="00D67D03" w:rsidRDefault="00D67D03" w:rsidP="00507656">
      <w:pPr>
        <w:rPr>
          <w:b/>
          <w:u w:val="single"/>
        </w:rPr>
      </w:pPr>
    </w:p>
    <w:p w:rsidR="00D67D03" w:rsidRDefault="00D67D03" w:rsidP="00507656">
      <w:pPr>
        <w:rPr>
          <w:b/>
          <w:u w:val="single"/>
        </w:rPr>
      </w:pPr>
    </w:p>
    <w:p w:rsidR="00D67D03" w:rsidRDefault="00D67D03" w:rsidP="00507656">
      <w:pPr>
        <w:rPr>
          <w:b/>
          <w:u w:val="single"/>
        </w:rPr>
      </w:pPr>
    </w:p>
    <w:p w:rsidR="00D84D36" w:rsidRDefault="00507656" w:rsidP="00507656">
      <w:pPr>
        <w:rPr>
          <w:color w:val="0070C0"/>
          <w:sz w:val="32"/>
        </w:rPr>
      </w:pPr>
      <w:r w:rsidRPr="00507656">
        <w:rPr>
          <w:color w:val="0070C0"/>
          <w:sz w:val="32"/>
        </w:rPr>
        <w:t>Annex: A brief outline of RIS3 applications and roadmaps</w:t>
      </w:r>
    </w:p>
    <w:p w:rsidR="00A0018C" w:rsidRDefault="00D67D03" w:rsidP="00507656">
      <w:pPr>
        <w:rPr>
          <w:color w:val="0070C0"/>
          <w:sz w:val="32"/>
        </w:rPr>
      </w:pPr>
      <w:r w:rsidRPr="00507656">
        <w:rPr>
          <w:noProof/>
          <w:color w:val="0070C0"/>
          <w:sz w:val="32"/>
        </w:rPr>
        <w:drawing>
          <wp:anchor distT="0" distB="0" distL="114300" distR="114300" simplePos="0" relativeHeight="251662336" behindDoc="0" locked="0" layoutInCell="1" allowOverlap="1" wp14:anchorId="799C72F9">
            <wp:simplePos x="0" y="0"/>
            <wp:positionH relativeFrom="column">
              <wp:posOffset>-10160</wp:posOffset>
            </wp:positionH>
            <wp:positionV relativeFrom="paragraph">
              <wp:posOffset>84570</wp:posOffset>
            </wp:positionV>
            <wp:extent cx="5731510" cy="2342143"/>
            <wp:effectExtent l="0" t="0" r="2540" b="1270"/>
            <wp:wrapNone/>
            <wp:docPr id="4" name="Picture 4">
              <a:extLst xmlns:a="http://schemas.openxmlformats.org/drawingml/2006/main">
                <a:ext uri="{FF2B5EF4-FFF2-40B4-BE49-F238E27FC236}">
                  <a16:creationId xmlns:a16="http://schemas.microsoft.com/office/drawing/2014/main" id="{0DFAA1AE-5665-442F-935E-1881494D38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DFAA1AE-5665-442F-935E-1881494D3816}"/>
                        </a:ext>
                      </a:extLst>
                    </pic:cNvPr>
                    <pic:cNvPicPr>
                      <a:picLocks noChangeAspect="1"/>
                    </pic:cNvPicPr>
                  </pic:nvPicPr>
                  <pic:blipFill rotWithShape="1">
                    <a:blip r:embed="rId9">
                      <a:extLst>
                        <a:ext uri="{28A0092B-C50C-407E-A947-70E740481C1C}">
                          <a14:useLocalDpi xmlns:a14="http://schemas.microsoft.com/office/drawing/2010/main" val="0"/>
                        </a:ext>
                      </a:extLst>
                    </a:blip>
                    <a:srcRect r="31000"/>
                    <a:stretch/>
                  </pic:blipFill>
                  <pic:spPr>
                    <a:xfrm>
                      <a:off x="0" y="0"/>
                      <a:ext cx="5731510" cy="2342143"/>
                    </a:xfrm>
                    <a:prstGeom prst="rect">
                      <a:avLst/>
                    </a:prstGeom>
                  </pic:spPr>
                </pic:pic>
              </a:graphicData>
            </a:graphic>
            <wp14:sizeRelH relativeFrom="page">
              <wp14:pctWidth>0</wp14:pctWidth>
            </wp14:sizeRelH>
            <wp14:sizeRelV relativeFrom="page">
              <wp14:pctHeight>0</wp14:pctHeight>
            </wp14:sizeRelV>
          </wp:anchor>
        </w:drawing>
      </w:r>
    </w:p>
    <w:p w:rsidR="00A0018C" w:rsidRDefault="00A0018C" w:rsidP="00507656">
      <w:pPr>
        <w:rPr>
          <w:color w:val="0070C0"/>
          <w:sz w:val="32"/>
        </w:rPr>
      </w:pPr>
    </w:p>
    <w:p w:rsidR="00A0018C" w:rsidRDefault="00A0018C" w:rsidP="00507656">
      <w:pPr>
        <w:rPr>
          <w:color w:val="0070C0"/>
          <w:sz w:val="32"/>
        </w:rPr>
      </w:pPr>
    </w:p>
    <w:p w:rsidR="00A0018C" w:rsidRDefault="00A0018C" w:rsidP="00507656">
      <w:pPr>
        <w:rPr>
          <w:color w:val="0070C0"/>
          <w:sz w:val="32"/>
        </w:rPr>
      </w:pPr>
    </w:p>
    <w:p w:rsidR="00A0018C" w:rsidRDefault="00A0018C" w:rsidP="00507656">
      <w:pPr>
        <w:rPr>
          <w:color w:val="0070C0"/>
          <w:sz w:val="32"/>
        </w:rPr>
      </w:pPr>
    </w:p>
    <w:p w:rsidR="00A0018C" w:rsidRDefault="00A0018C" w:rsidP="00507656">
      <w:pPr>
        <w:rPr>
          <w:color w:val="0070C0"/>
          <w:sz w:val="32"/>
        </w:rPr>
      </w:pPr>
    </w:p>
    <w:p w:rsidR="00A0018C" w:rsidRDefault="00A0018C" w:rsidP="00507656">
      <w:pPr>
        <w:rPr>
          <w:color w:val="0070C0"/>
          <w:sz w:val="32"/>
        </w:rPr>
      </w:pPr>
    </w:p>
    <w:p w:rsidR="00A0018C" w:rsidRDefault="00A0018C" w:rsidP="00507656">
      <w:pPr>
        <w:rPr>
          <w:color w:val="0070C0"/>
          <w:sz w:val="32"/>
        </w:rPr>
      </w:pPr>
    </w:p>
    <w:p w:rsidR="00A0018C" w:rsidRDefault="00A0018C" w:rsidP="00507656">
      <w:pPr>
        <w:rPr>
          <w:color w:val="0070C0"/>
          <w:sz w:val="32"/>
        </w:rPr>
      </w:pPr>
    </w:p>
    <w:p w:rsidR="00A0018C" w:rsidRDefault="00A0018C">
      <w:pPr>
        <w:rPr>
          <w:color w:val="0070C0"/>
          <w:sz w:val="32"/>
        </w:rPr>
      </w:pPr>
      <w:r>
        <w:rPr>
          <w:color w:val="0070C0"/>
          <w:sz w:val="32"/>
        </w:rPr>
        <w:br w:type="page"/>
      </w:r>
    </w:p>
    <w:tbl>
      <w:tblPr>
        <w:tblStyle w:val="TableGrid"/>
        <w:tblW w:w="0" w:type="auto"/>
        <w:tblLook w:val="04A0" w:firstRow="1" w:lastRow="0" w:firstColumn="1" w:lastColumn="0" w:noHBand="0" w:noVBand="1"/>
      </w:tblPr>
      <w:tblGrid>
        <w:gridCol w:w="3192"/>
        <w:gridCol w:w="5824"/>
      </w:tblGrid>
      <w:tr w:rsidR="00A0018C" w:rsidRPr="006967CF" w:rsidTr="00A453B4">
        <w:tc>
          <w:tcPr>
            <w:tcW w:w="4675" w:type="dxa"/>
            <w:tcBorders>
              <w:bottom w:val="nil"/>
            </w:tcBorders>
            <w:shd w:val="clear" w:color="auto" w:fill="70AD47" w:themeFill="accent6"/>
          </w:tcPr>
          <w:p w:rsidR="00A0018C" w:rsidRPr="006967CF" w:rsidRDefault="00A0018C" w:rsidP="00A453B4">
            <w:pPr>
              <w:rPr>
                <w:rFonts w:ascii="Cambria" w:hAnsi="Cambria" w:cstheme="minorHAnsi"/>
                <w:b/>
              </w:rPr>
            </w:pPr>
            <w:r w:rsidRPr="006967CF">
              <w:rPr>
                <w:rFonts w:ascii="Cambria" w:hAnsi="Cambria" w:cstheme="minorHAnsi"/>
                <w:b/>
              </w:rPr>
              <w:lastRenderedPageBreak/>
              <w:t>1.1.Vision sharing</w:t>
            </w:r>
          </w:p>
        </w:tc>
        <w:tc>
          <w:tcPr>
            <w:tcW w:w="4675" w:type="dxa"/>
            <w:vMerge w:val="restart"/>
            <w:tcBorders>
              <w:bottom w:val="nil"/>
            </w:tcBorders>
            <w:vAlign w:val="center"/>
          </w:tcPr>
          <w:p w:rsidR="00A0018C" w:rsidRPr="006967CF" w:rsidRDefault="00A0018C" w:rsidP="00A453B4">
            <w:pPr>
              <w:jc w:val="center"/>
              <w:rPr>
                <w:rFonts w:ascii="Cambria" w:hAnsi="Cambria" w:cstheme="minorHAnsi"/>
              </w:rPr>
            </w:pPr>
            <w:r w:rsidRPr="006967CF">
              <w:rPr>
                <w:rFonts w:ascii="Cambria" w:hAnsi="Cambria"/>
              </w:rPr>
              <w:object w:dxaOrig="11805" w:dyaOrig="86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0.35pt;height:206.4pt" o:ole="">
                  <v:imagedata r:id="rId29" o:title=""/>
                </v:shape>
                <o:OLEObject Type="Embed" ProgID="PBrush" ShapeID="_x0000_i1025" DrawAspect="Content" ObjectID="_1591864453" r:id="rId30"/>
              </w:object>
            </w:r>
          </w:p>
        </w:tc>
      </w:tr>
      <w:tr w:rsidR="00A0018C" w:rsidRPr="006967CF" w:rsidTr="00A453B4">
        <w:trPr>
          <w:trHeight w:val="4105"/>
        </w:trPr>
        <w:tc>
          <w:tcPr>
            <w:tcW w:w="4675" w:type="dxa"/>
            <w:vMerge w:val="restart"/>
            <w:tcBorders>
              <w:top w:val="nil"/>
            </w:tcBorders>
          </w:tcPr>
          <w:p w:rsidR="00A0018C" w:rsidRPr="006967CF" w:rsidRDefault="00A0018C" w:rsidP="006967CF">
            <w:pPr>
              <w:spacing w:before="120" w:after="120"/>
              <w:rPr>
                <w:rFonts w:ascii="Cambria" w:eastAsiaTheme="majorEastAsia" w:hAnsi="Cambria" w:cstheme="minorHAnsi"/>
                <w:spacing w:val="-10"/>
                <w:kern w:val="28"/>
              </w:rPr>
            </w:pPr>
            <w:r w:rsidRPr="006967CF">
              <w:rPr>
                <w:rFonts w:ascii="Cambria" w:eastAsiaTheme="majorEastAsia" w:hAnsi="Cambria" w:cstheme="minorHAnsi"/>
                <w:spacing w:val="-10"/>
                <w:kern w:val="28"/>
              </w:rPr>
              <w:t xml:space="preserve">The purpose of this application is to assist policy-makers with engaging stakeholders in an entrepreneurial discovery process and communicating the resulting vision to them. </w:t>
            </w:r>
          </w:p>
          <w:p w:rsidR="00A0018C" w:rsidRPr="006967CF" w:rsidRDefault="00A0018C" w:rsidP="006967CF">
            <w:pPr>
              <w:spacing w:before="120" w:after="120"/>
              <w:rPr>
                <w:rFonts w:ascii="Cambria" w:eastAsiaTheme="majorEastAsia" w:hAnsi="Cambria" w:cstheme="minorHAnsi"/>
                <w:spacing w:val="-10"/>
                <w:kern w:val="28"/>
              </w:rPr>
            </w:pPr>
            <w:r w:rsidRPr="006967CF">
              <w:rPr>
                <w:rFonts w:ascii="Cambria" w:eastAsiaTheme="majorEastAsia" w:hAnsi="Cambria" w:cstheme="minorHAnsi"/>
                <w:spacing w:val="-10"/>
                <w:kern w:val="28"/>
              </w:rPr>
              <w:t xml:space="preserve">The application consists of ready information material templates, that can be used for vision sharing and other communication activities related to the RIS3 process, and links to external services (canva.com, infogr.am, etc.) that can be used to create customised information material. In addition, the importance and rationale behind vision sharing is described on the </w:t>
            </w:r>
            <w:r w:rsidRPr="006967CF">
              <w:rPr>
                <w:rFonts w:ascii="Cambria" w:eastAsiaTheme="majorEastAsia" w:hAnsi="Cambria" w:cstheme="minorHAnsi"/>
                <w:i/>
                <w:spacing w:val="-10"/>
                <w:kern w:val="28"/>
              </w:rPr>
              <w:t>About</w:t>
            </w:r>
            <w:r w:rsidRPr="006967CF">
              <w:rPr>
                <w:rFonts w:ascii="Cambria" w:eastAsiaTheme="majorEastAsia" w:hAnsi="Cambria" w:cstheme="minorHAnsi"/>
                <w:spacing w:val="-10"/>
                <w:kern w:val="28"/>
              </w:rPr>
              <w:t xml:space="preserve"> page and the use of the material and tools is instructed on the </w:t>
            </w:r>
            <w:r w:rsidRPr="006967CF">
              <w:rPr>
                <w:rFonts w:ascii="Cambria" w:eastAsiaTheme="majorEastAsia" w:hAnsi="Cambria" w:cstheme="minorHAnsi"/>
                <w:i/>
                <w:spacing w:val="-10"/>
                <w:kern w:val="28"/>
              </w:rPr>
              <w:t>Guide page</w:t>
            </w:r>
            <w:r w:rsidRPr="006967CF">
              <w:rPr>
                <w:rFonts w:ascii="Cambria" w:eastAsiaTheme="majorEastAsia" w:hAnsi="Cambria" w:cstheme="minorHAnsi"/>
                <w:spacing w:val="-10"/>
                <w:kern w:val="28"/>
              </w:rPr>
              <w:t>.</w:t>
            </w:r>
          </w:p>
        </w:tc>
        <w:tc>
          <w:tcPr>
            <w:tcW w:w="4675" w:type="dxa"/>
            <w:vMerge/>
            <w:tcBorders>
              <w:bottom w:val="nil"/>
            </w:tcBorders>
          </w:tcPr>
          <w:p w:rsidR="00A0018C" w:rsidRPr="006967CF" w:rsidRDefault="00A0018C" w:rsidP="00A453B4">
            <w:pPr>
              <w:rPr>
                <w:rFonts w:ascii="Cambria" w:hAnsi="Cambria" w:cstheme="minorHAnsi"/>
              </w:rPr>
            </w:pPr>
          </w:p>
        </w:tc>
      </w:tr>
      <w:tr w:rsidR="00A0018C" w:rsidRPr="006967CF" w:rsidTr="00A453B4">
        <w:trPr>
          <w:trHeight w:val="564"/>
        </w:trPr>
        <w:tc>
          <w:tcPr>
            <w:tcW w:w="4675" w:type="dxa"/>
            <w:vMerge/>
          </w:tcPr>
          <w:p w:rsidR="00A0018C" w:rsidRPr="006967CF" w:rsidRDefault="00A0018C" w:rsidP="00A453B4">
            <w:pPr>
              <w:rPr>
                <w:rFonts w:ascii="Cambria" w:hAnsi="Cambria" w:cstheme="minorHAnsi"/>
              </w:rPr>
            </w:pPr>
          </w:p>
        </w:tc>
        <w:tc>
          <w:tcPr>
            <w:tcW w:w="4675" w:type="dxa"/>
            <w:tcBorders>
              <w:top w:val="nil"/>
            </w:tcBorders>
          </w:tcPr>
          <w:p w:rsidR="00A0018C" w:rsidRPr="006967CF" w:rsidRDefault="00A0018C" w:rsidP="00A453B4">
            <w:pPr>
              <w:rPr>
                <w:rFonts w:ascii="Cambria" w:hAnsi="Cambria" w:cstheme="minorHAnsi"/>
              </w:rPr>
            </w:pPr>
            <w:r w:rsidRPr="006967CF">
              <w:rPr>
                <w:rFonts w:ascii="Cambria" w:hAnsi="Cambria" w:cstheme="minorHAnsi"/>
                <w:b/>
              </w:rPr>
              <w:t>Link:</w:t>
            </w:r>
            <w:r w:rsidRPr="006967CF">
              <w:rPr>
                <w:rFonts w:ascii="Cambria" w:hAnsi="Cambria" w:cstheme="minorHAnsi"/>
              </w:rPr>
              <w:t xml:space="preserve"> </w:t>
            </w:r>
            <w:hyperlink r:id="rId31" w:history="1">
              <w:r w:rsidRPr="006967CF">
                <w:rPr>
                  <w:rStyle w:val="Hyperlink"/>
                  <w:rFonts w:ascii="Cambria" w:hAnsi="Cambria" w:cstheme="minorHAnsi"/>
                </w:rPr>
                <w:t>http://visiongraphics.s3platform.eu/index.html</w:t>
              </w:r>
            </w:hyperlink>
            <w:r w:rsidRPr="006967CF">
              <w:rPr>
                <w:rFonts w:ascii="Cambria" w:hAnsi="Cambria" w:cstheme="minorHAnsi"/>
              </w:rPr>
              <w:t xml:space="preserve"> </w:t>
            </w:r>
          </w:p>
          <w:p w:rsidR="00A0018C" w:rsidRPr="006967CF" w:rsidRDefault="00A0018C" w:rsidP="00A453B4">
            <w:pPr>
              <w:rPr>
                <w:rFonts w:ascii="Cambria" w:hAnsi="Cambria" w:cstheme="minorHAnsi"/>
              </w:rPr>
            </w:pPr>
            <w:r w:rsidRPr="006967CF">
              <w:rPr>
                <w:rFonts w:ascii="Cambria" w:hAnsi="Cambria" w:cstheme="minorHAnsi"/>
                <w:b/>
              </w:rPr>
              <w:t>Source code:</w:t>
            </w:r>
            <w:r w:rsidRPr="006967CF">
              <w:rPr>
                <w:rFonts w:ascii="Cambria" w:hAnsi="Cambria" w:cstheme="minorHAnsi"/>
              </w:rPr>
              <w:t xml:space="preserve"> </w:t>
            </w:r>
            <w:hyperlink r:id="rId32" w:history="1">
              <w:r w:rsidRPr="006967CF">
                <w:rPr>
                  <w:rStyle w:val="Hyperlink"/>
                  <w:rFonts w:ascii="Cambria" w:hAnsi="Cambria" w:cstheme="minorHAnsi"/>
                </w:rPr>
                <w:t>https://github.com/OnlineS3/1.1.-RIS3-vision-sharing</w:t>
              </w:r>
            </w:hyperlink>
          </w:p>
        </w:tc>
      </w:tr>
    </w:tbl>
    <w:p w:rsidR="00A0018C" w:rsidRDefault="00A0018C" w:rsidP="00A0018C">
      <w:pPr>
        <w:spacing w:before="240"/>
      </w:pPr>
    </w:p>
    <w:tbl>
      <w:tblPr>
        <w:tblStyle w:val="TableGrid"/>
        <w:tblW w:w="0" w:type="auto"/>
        <w:tblLook w:val="04A0" w:firstRow="1" w:lastRow="0" w:firstColumn="1" w:lastColumn="0" w:noHBand="0" w:noVBand="1"/>
      </w:tblPr>
      <w:tblGrid>
        <w:gridCol w:w="3115"/>
        <w:gridCol w:w="5901"/>
      </w:tblGrid>
      <w:tr w:rsidR="00A0018C" w:rsidRPr="00F43B7E" w:rsidTr="00A453B4">
        <w:tc>
          <w:tcPr>
            <w:tcW w:w="4675" w:type="dxa"/>
            <w:tcBorders>
              <w:bottom w:val="nil"/>
            </w:tcBorders>
            <w:shd w:val="clear" w:color="auto" w:fill="70AD47" w:themeFill="accent6"/>
          </w:tcPr>
          <w:p w:rsidR="00A0018C" w:rsidRPr="006967CF" w:rsidRDefault="00A0018C" w:rsidP="006967CF">
            <w:pPr>
              <w:rPr>
                <w:rFonts w:ascii="Cambria" w:hAnsi="Cambria" w:cstheme="minorHAnsi"/>
                <w:b/>
              </w:rPr>
            </w:pPr>
            <w:r w:rsidRPr="006967CF">
              <w:rPr>
                <w:rFonts w:ascii="Cambria" w:hAnsi="Cambria" w:cstheme="minorHAnsi"/>
                <w:b/>
              </w:rPr>
              <w:t>1.2.Debate at a glance</w:t>
            </w:r>
          </w:p>
        </w:tc>
        <w:tc>
          <w:tcPr>
            <w:tcW w:w="4675" w:type="dxa"/>
            <w:vMerge w:val="restart"/>
            <w:tcBorders>
              <w:bottom w:val="nil"/>
            </w:tcBorders>
            <w:vAlign w:val="center"/>
          </w:tcPr>
          <w:p w:rsidR="00A0018C" w:rsidRPr="00F43B7E" w:rsidRDefault="00A0018C" w:rsidP="00A453B4">
            <w:pPr>
              <w:jc w:val="center"/>
              <w:rPr>
                <w:rFonts w:cstheme="minorHAnsi"/>
              </w:rPr>
            </w:pPr>
            <w:r>
              <w:object w:dxaOrig="11745" w:dyaOrig="8925">
                <v:shape id="_x0000_i1026" type="#_x0000_t75" style="width:284.25pt;height:3in" o:ole="">
                  <v:imagedata r:id="rId33" o:title=""/>
                </v:shape>
                <o:OLEObject Type="Embed" ProgID="PBrush" ShapeID="_x0000_i1026" DrawAspect="Content" ObjectID="_1591864454" r:id="rId34"/>
              </w:object>
            </w:r>
          </w:p>
        </w:tc>
      </w:tr>
      <w:tr w:rsidR="00A0018C" w:rsidRPr="00F43B7E" w:rsidTr="00A453B4">
        <w:trPr>
          <w:trHeight w:val="4444"/>
        </w:trPr>
        <w:tc>
          <w:tcPr>
            <w:tcW w:w="4675" w:type="dxa"/>
            <w:vMerge w:val="restart"/>
            <w:tcBorders>
              <w:top w:val="nil"/>
            </w:tcBorders>
          </w:tcPr>
          <w:p w:rsidR="00A0018C" w:rsidRPr="006967CF" w:rsidRDefault="00A0018C" w:rsidP="006967CF">
            <w:pPr>
              <w:spacing w:before="240" w:after="120"/>
              <w:rPr>
                <w:rFonts w:ascii="Cambria" w:eastAsiaTheme="majorEastAsia" w:hAnsi="Cambria" w:cstheme="minorHAnsi"/>
                <w:spacing w:val="-10"/>
                <w:kern w:val="28"/>
              </w:rPr>
            </w:pPr>
            <w:r w:rsidRPr="006967CF">
              <w:rPr>
                <w:rFonts w:ascii="Cambria" w:eastAsiaTheme="majorEastAsia" w:hAnsi="Cambria" w:cstheme="minorHAnsi"/>
                <w:spacing w:val="-10"/>
                <w:kern w:val="28"/>
              </w:rPr>
              <w:t xml:space="preserve">The purpose of this tool is to promote the use of online debate platforms for facilitating the entrepreneurial discovery process. These platforms allow policymakers to organise discussions, debates and idea generation online, for example, on the region’s vision, policies and opportunities with all stakeholder groups. Thus, they provide an excellent opportunity for not only increasing stakeholder participation but also the transparency and legitimacy of the RIS3 process and its outcomes. </w:t>
            </w:r>
          </w:p>
          <w:p w:rsidR="00A0018C" w:rsidRPr="006967CF" w:rsidRDefault="00A0018C" w:rsidP="006967CF">
            <w:pPr>
              <w:spacing w:before="240" w:after="120"/>
              <w:rPr>
                <w:rFonts w:ascii="Cambria" w:eastAsiaTheme="majorEastAsia" w:hAnsi="Cambria" w:cstheme="minorHAnsi"/>
                <w:spacing w:val="-10"/>
                <w:kern w:val="28"/>
              </w:rPr>
            </w:pPr>
            <w:r w:rsidRPr="006967CF">
              <w:rPr>
                <w:rFonts w:ascii="Cambria" w:eastAsiaTheme="majorEastAsia" w:hAnsi="Cambria" w:cstheme="minorHAnsi"/>
                <w:spacing w:val="-10"/>
                <w:kern w:val="28"/>
              </w:rPr>
              <w:t>The tool itself consists of links to two online debate platforms, Discuto and Debategraph and of guidance that promotes and instructs the use of these tools.</w:t>
            </w:r>
          </w:p>
        </w:tc>
        <w:tc>
          <w:tcPr>
            <w:tcW w:w="4675" w:type="dxa"/>
            <w:vMerge/>
            <w:tcBorders>
              <w:bottom w:val="nil"/>
            </w:tcBorders>
          </w:tcPr>
          <w:p w:rsidR="00A0018C" w:rsidRPr="00F43B7E" w:rsidRDefault="00A0018C" w:rsidP="00A453B4">
            <w:pPr>
              <w:rPr>
                <w:rFonts w:cstheme="minorHAnsi"/>
              </w:rPr>
            </w:pPr>
          </w:p>
        </w:tc>
      </w:tr>
      <w:tr w:rsidR="00A0018C" w:rsidRPr="00F43B7E" w:rsidTr="00A453B4">
        <w:trPr>
          <w:trHeight w:val="1185"/>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35" w:history="1">
              <w:r w:rsidRPr="00DA4C26">
                <w:rPr>
                  <w:rStyle w:val="Hyperlink"/>
                  <w:rFonts w:cstheme="minorHAnsi"/>
                </w:rPr>
                <w:t>http://engagement.s3platform.eu/</w:t>
              </w:r>
            </w:hyperlink>
            <w: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36" w:history="1">
              <w:r w:rsidRPr="00F644F2">
                <w:rPr>
                  <w:rStyle w:val="Hyperlink"/>
                  <w:rFonts w:cstheme="minorHAnsi"/>
                  <w:szCs w:val="18"/>
                </w:rPr>
                <w:t>https://github.com/OnlineS3/crowdsourcing</w:t>
              </w:r>
            </w:hyperlink>
          </w:p>
        </w:tc>
      </w:tr>
    </w:tbl>
    <w:p w:rsidR="00A0018C" w:rsidRDefault="00A0018C" w:rsidP="00A0018C"/>
    <w:p w:rsidR="00A0018C" w:rsidRDefault="00A0018C" w:rsidP="00A0018C"/>
    <w:tbl>
      <w:tblPr>
        <w:tblStyle w:val="TableGrid"/>
        <w:tblW w:w="0" w:type="auto"/>
        <w:tblLook w:val="04A0" w:firstRow="1" w:lastRow="0" w:firstColumn="1" w:lastColumn="0" w:noHBand="0" w:noVBand="1"/>
      </w:tblPr>
      <w:tblGrid>
        <w:gridCol w:w="3457"/>
        <w:gridCol w:w="5559"/>
      </w:tblGrid>
      <w:tr w:rsidR="00A0018C" w:rsidRPr="00F43B7E" w:rsidTr="00372DA3">
        <w:tc>
          <w:tcPr>
            <w:tcW w:w="3457" w:type="dxa"/>
            <w:tcBorders>
              <w:bottom w:val="nil"/>
            </w:tcBorders>
            <w:shd w:val="clear" w:color="auto" w:fill="70AD47" w:themeFill="accent6"/>
          </w:tcPr>
          <w:p w:rsidR="00A0018C" w:rsidRPr="006967CF" w:rsidRDefault="00A0018C" w:rsidP="006967CF">
            <w:pPr>
              <w:rPr>
                <w:rFonts w:ascii="Cambria" w:hAnsi="Cambria" w:cstheme="minorHAnsi"/>
                <w:b/>
              </w:rPr>
            </w:pPr>
            <w:r w:rsidRPr="006967CF">
              <w:rPr>
                <w:rFonts w:ascii="Cambria" w:hAnsi="Cambria" w:cstheme="minorHAnsi"/>
                <w:b/>
              </w:rPr>
              <w:lastRenderedPageBreak/>
              <w:t>1.3. Legal and administrative framework</w:t>
            </w:r>
          </w:p>
        </w:tc>
        <w:tc>
          <w:tcPr>
            <w:tcW w:w="5559" w:type="dxa"/>
            <w:vMerge w:val="restart"/>
            <w:tcBorders>
              <w:bottom w:val="nil"/>
            </w:tcBorders>
            <w:vAlign w:val="center"/>
          </w:tcPr>
          <w:p w:rsidR="00A0018C" w:rsidRPr="00F43B7E" w:rsidRDefault="00A0018C" w:rsidP="00A453B4">
            <w:pPr>
              <w:jc w:val="center"/>
              <w:rPr>
                <w:rFonts w:cstheme="minorHAnsi"/>
              </w:rPr>
            </w:pPr>
            <w:r w:rsidRPr="001B2A3A">
              <w:object w:dxaOrig="11295" w:dyaOrig="13125">
                <v:shape id="_x0000_i1027" type="#_x0000_t75" style="width:267.15pt;height:311.05pt" o:ole="">
                  <v:imagedata r:id="rId37" o:title=""/>
                </v:shape>
                <o:OLEObject Type="Embed" ProgID="PBrush" ShapeID="_x0000_i1027" DrawAspect="Content" ObjectID="_1591864455" r:id="rId38"/>
              </w:object>
            </w:r>
          </w:p>
        </w:tc>
      </w:tr>
      <w:tr w:rsidR="00A0018C" w:rsidRPr="00F43B7E" w:rsidTr="00372DA3">
        <w:trPr>
          <w:trHeight w:val="4105"/>
        </w:trPr>
        <w:tc>
          <w:tcPr>
            <w:tcW w:w="3457" w:type="dxa"/>
            <w:vMerge w:val="restart"/>
            <w:tcBorders>
              <w:top w:val="nil"/>
            </w:tcBorders>
          </w:tcPr>
          <w:p w:rsidR="00A0018C" w:rsidRPr="006967CF" w:rsidRDefault="00A0018C" w:rsidP="006967CF">
            <w:pPr>
              <w:spacing w:before="120" w:after="120"/>
              <w:rPr>
                <w:rFonts w:ascii="Cambria" w:eastAsiaTheme="majorEastAsia" w:hAnsi="Cambria" w:cstheme="minorHAnsi"/>
                <w:spacing w:val="-10"/>
                <w:kern w:val="28"/>
              </w:rPr>
            </w:pPr>
            <w:r w:rsidRPr="006967CF">
              <w:rPr>
                <w:rFonts w:ascii="Cambria" w:eastAsiaTheme="majorEastAsia" w:hAnsi="Cambria" w:cstheme="minorHAnsi"/>
                <w:spacing w:val="-10"/>
                <w:kern w:val="28"/>
              </w:rPr>
              <w:t xml:space="preserve">The application bundles information and references to relevant data related to the European Structural and Investment Funds (ESIF). </w:t>
            </w:r>
          </w:p>
          <w:p w:rsidR="00A0018C" w:rsidRPr="006967CF" w:rsidRDefault="00A0018C" w:rsidP="006967CF">
            <w:pPr>
              <w:spacing w:before="120" w:after="120"/>
              <w:rPr>
                <w:rFonts w:ascii="Cambria" w:eastAsiaTheme="majorEastAsia" w:hAnsi="Cambria" w:cstheme="minorHAnsi"/>
                <w:spacing w:val="-10"/>
                <w:kern w:val="28"/>
              </w:rPr>
            </w:pPr>
            <w:r w:rsidRPr="006967CF">
              <w:rPr>
                <w:rFonts w:ascii="Cambria" w:eastAsiaTheme="majorEastAsia" w:hAnsi="Cambria" w:cstheme="minorHAnsi"/>
                <w:spacing w:val="-10"/>
                <w:kern w:val="28"/>
              </w:rPr>
              <w:t>The application provides an About page describing the purpose of the application. It provides a user guide that introduces new users to using the application and shows the main functionalities of the application. A Related Documents page refers to further information on the subject that may be helpful to the use.</w:t>
            </w:r>
          </w:p>
        </w:tc>
        <w:tc>
          <w:tcPr>
            <w:tcW w:w="5559" w:type="dxa"/>
            <w:vMerge/>
            <w:tcBorders>
              <w:bottom w:val="nil"/>
            </w:tcBorders>
          </w:tcPr>
          <w:p w:rsidR="00A0018C" w:rsidRPr="00F43B7E" w:rsidRDefault="00A0018C" w:rsidP="00A453B4">
            <w:pPr>
              <w:rPr>
                <w:rFonts w:cstheme="minorHAnsi"/>
              </w:rPr>
            </w:pPr>
          </w:p>
        </w:tc>
      </w:tr>
      <w:tr w:rsidR="00A0018C" w:rsidRPr="00F43B7E" w:rsidTr="00372DA3">
        <w:trPr>
          <w:trHeight w:val="564"/>
        </w:trPr>
        <w:tc>
          <w:tcPr>
            <w:tcW w:w="3457" w:type="dxa"/>
            <w:vMerge/>
          </w:tcPr>
          <w:p w:rsidR="00A0018C" w:rsidRPr="00F43B7E" w:rsidRDefault="00A0018C" w:rsidP="00A453B4">
            <w:pPr>
              <w:rPr>
                <w:rFonts w:cstheme="minorHAnsi"/>
              </w:rPr>
            </w:pPr>
          </w:p>
        </w:tc>
        <w:tc>
          <w:tcPr>
            <w:tcW w:w="5559" w:type="dxa"/>
            <w:tcBorders>
              <w:top w:val="nil"/>
            </w:tcBorders>
          </w:tcPr>
          <w:p w:rsidR="00A0018C" w:rsidRPr="009B31F8" w:rsidRDefault="00A0018C" w:rsidP="00A453B4">
            <w:pPr>
              <w:rPr>
                <w:rFonts w:cstheme="minorHAnsi"/>
                <w:b/>
              </w:rPr>
            </w:pPr>
            <w:r w:rsidRPr="00F43B7E">
              <w:rPr>
                <w:rFonts w:cstheme="minorHAnsi"/>
                <w:b/>
              </w:rPr>
              <w:t>Link:</w:t>
            </w:r>
            <w:r w:rsidRPr="00F43B7E">
              <w:rPr>
                <w:rFonts w:cstheme="minorHAnsi"/>
              </w:rPr>
              <w:t xml:space="preserve"> </w:t>
            </w:r>
            <w:hyperlink r:id="rId39" w:history="1">
              <w:r w:rsidRPr="00157A4A">
                <w:rPr>
                  <w:rStyle w:val="Hyperlink"/>
                  <w:rFonts w:cstheme="minorHAnsi"/>
                  <w:sz w:val="20"/>
                </w:rPr>
                <w:t>http://li1088-54.members.linode.com:8082/legaladmin/</w:t>
              </w:r>
            </w:hyperlink>
            <w:r w:rsidRPr="00157A4A">
              <w:rPr>
                <w:rFonts w:cstheme="minorHAnsi"/>
                <w:sz w:val="20"/>
              </w:rPr>
              <w:t xml:space="preserve"> </w:t>
            </w:r>
          </w:p>
          <w:p w:rsidR="00A0018C" w:rsidRPr="009B31F8" w:rsidRDefault="00A0018C" w:rsidP="00A453B4">
            <w:pPr>
              <w:rPr>
                <w:rFonts w:cstheme="minorHAnsi"/>
                <w:sz w:val="20"/>
              </w:rPr>
            </w:pPr>
            <w:r w:rsidRPr="00F43B7E">
              <w:rPr>
                <w:rFonts w:cstheme="minorHAnsi"/>
                <w:b/>
              </w:rPr>
              <w:t>Source code:</w:t>
            </w:r>
            <w:r w:rsidRPr="00F43B7E">
              <w:rPr>
                <w:rFonts w:cstheme="minorHAnsi"/>
              </w:rPr>
              <w:t xml:space="preserve"> </w:t>
            </w:r>
            <w:hyperlink r:id="rId40" w:history="1">
              <w:r w:rsidRPr="009B31F8">
                <w:rPr>
                  <w:rStyle w:val="Hyperlink"/>
                  <w:rFonts w:cstheme="minorHAnsi"/>
                  <w:sz w:val="20"/>
                  <w:szCs w:val="20"/>
                </w:rPr>
                <w:t>https://github.com/OnlineS3/1.4-RIS3-legal-and-administrative-framework-related-to-ESIF</w:t>
              </w:r>
            </w:hyperlink>
          </w:p>
        </w:tc>
      </w:tr>
    </w:tbl>
    <w:p w:rsidR="00A0018C" w:rsidRDefault="00A0018C" w:rsidP="00A0018C"/>
    <w:tbl>
      <w:tblPr>
        <w:tblStyle w:val="TableGrid"/>
        <w:tblW w:w="0" w:type="auto"/>
        <w:tblLook w:val="04A0" w:firstRow="1" w:lastRow="0" w:firstColumn="1" w:lastColumn="0" w:noHBand="0" w:noVBand="1"/>
      </w:tblPr>
      <w:tblGrid>
        <w:gridCol w:w="4343"/>
        <w:gridCol w:w="4673"/>
      </w:tblGrid>
      <w:tr w:rsidR="00A0018C" w:rsidRPr="00F43B7E" w:rsidTr="00A453B4">
        <w:tc>
          <w:tcPr>
            <w:tcW w:w="4675" w:type="dxa"/>
            <w:tcBorders>
              <w:bottom w:val="nil"/>
            </w:tcBorders>
            <w:shd w:val="clear" w:color="auto" w:fill="8CBA55"/>
          </w:tcPr>
          <w:p w:rsidR="00A0018C" w:rsidRPr="006967CF" w:rsidRDefault="00A0018C" w:rsidP="006967CF">
            <w:pPr>
              <w:rPr>
                <w:rFonts w:ascii="Cambria" w:hAnsi="Cambria" w:cstheme="minorHAnsi"/>
                <w:b/>
              </w:rPr>
            </w:pPr>
            <w:r w:rsidRPr="006967CF">
              <w:rPr>
                <w:rFonts w:ascii="Cambria" w:hAnsi="Cambria" w:cstheme="minorHAnsi"/>
                <w:b/>
              </w:rPr>
              <w:t>2.1. Regional assets mapping</w:t>
            </w:r>
          </w:p>
        </w:tc>
        <w:tc>
          <w:tcPr>
            <w:tcW w:w="4675" w:type="dxa"/>
            <w:vMerge w:val="restart"/>
            <w:tcBorders>
              <w:bottom w:val="nil"/>
            </w:tcBorders>
            <w:vAlign w:val="center"/>
          </w:tcPr>
          <w:p w:rsidR="00A0018C" w:rsidRPr="00F43B7E" w:rsidRDefault="00A0018C" w:rsidP="00A453B4">
            <w:pPr>
              <w:jc w:val="center"/>
              <w:rPr>
                <w:rFonts w:cstheme="minorHAnsi"/>
              </w:rPr>
            </w:pPr>
            <w:r>
              <w:object w:dxaOrig="11265" w:dyaOrig="10875">
                <v:shape id="_x0000_i1028" type="#_x0000_t75" style="width:221.9pt;height:215.85pt" o:ole="">
                  <v:imagedata r:id="rId41" o:title=""/>
                </v:shape>
                <o:OLEObject Type="Embed" ProgID="PBrush" ShapeID="_x0000_i1028" DrawAspect="Content" ObjectID="_1591864456" r:id="rId42"/>
              </w:object>
            </w:r>
          </w:p>
        </w:tc>
      </w:tr>
      <w:tr w:rsidR="00A0018C" w:rsidRPr="00F43B7E" w:rsidTr="00A453B4">
        <w:trPr>
          <w:trHeight w:val="4105"/>
        </w:trPr>
        <w:tc>
          <w:tcPr>
            <w:tcW w:w="4675" w:type="dxa"/>
            <w:vMerge w:val="restart"/>
            <w:tcBorders>
              <w:top w:val="nil"/>
            </w:tcBorders>
          </w:tcPr>
          <w:p w:rsidR="00A0018C" w:rsidRPr="006967CF" w:rsidRDefault="00A0018C" w:rsidP="006967CF">
            <w:pPr>
              <w:spacing w:before="120" w:after="120"/>
              <w:rPr>
                <w:rFonts w:ascii="Cambria" w:eastAsiaTheme="majorEastAsia" w:hAnsi="Cambria" w:cstheme="minorHAnsi"/>
                <w:spacing w:val="-10"/>
                <w:kern w:val="28"/>
              </w:rPr>
            </w:pPr>
            <w:r w:rsidRPr="006967CF">
              <w:rPr>
                <w:rFonts w:ascii="Cambria" w:eastAsiaTheme="majorEastAsia" w:hAnsi="Cambria" w:cstheme="minorHAnsi"/>
                <w:spacing w:val="-10"/>
                <w:kern w:val="28"/>
              </w:rPr>
              <w:t xml:space="preserve">The application targets on providing an online tool for exploring the available datasets, that already exist on Eurostat, and are closely related to the RIS3 decision-making processes. Its added value is based on the fact that the outputs from this application could be used immediately as inputs for other tools on the Online-S3 platform, in order to further exploit existing information related to the regional context. </w:t>
            </w:r>
          </w:p>
          <w:p w:rsidR="00A0018C" w:rsidRPr="006967CF" w:rsidRDefault="00A0018C" w:rsidP="006967CF">
            <w:pPr>
              <w:spacing w:before="120"/>
              <w:rPr>
                <w:rFonts w:ascii="Cambria" w:eastAsiaTheme="majorEastAsia" w:hAnsi="Cambria" w:cstheme="minorHAnsi"/>
                <w:spacing w:val="-10"/>
                <w:kern w:val="28"/>
              </w:rPr>
            </w:pPr>
            <w:r w:rsidRPr="006967CF">
              <w:rPr>
                <w:rFonts w:ascii="Cambria" w:eastAsiaTheme="majorEastAsia" w:hAnsi="Cambria" w:cstheme="minorHAnsi"/>
                <w:spacing w:val="-10"/>
                <w:kern w:val="28"/>
              </w:rPr>
              <w:t xml:space="preserve">The application provides an </w:t>
            </w:r>
            <w:r w:rsidRPr="006967CF">
              <w:rPr>
                <w:rFonts w:ascii="Cambria" w:eastAsiaTheme="majorEastAsia" w:hAnsi="Cambria" w:cstheme="minorHAnsi"/>
                <w:i/>
                <w:spacing w:val="-10"/>
                <w:kern w:val="28"/>
              </w:rPr>
              <w:t>About</w:t>
            </w:r>
            <w:r w:rsidRPr="006967CF">
              <w:rPr>
                <w:rFonts w:ascii="Cambria" w:eastAsiaTheme="majorEastAsia" w:hAnsi="Cambria" w:cstheme="minorHAnsi"/>
                <w:spacing w:val="-10"/>
                <w:kern w:val="28"/>
              </w:rPr>
              <w:t xml:space="preserve"> page describing the main rationale behind its development and structure, as well as a full </w:t>
            </w:r>
            <w:r w:rsidRPr="006967CF">
              <w:rPr>
                <w:rFonts w:ascii="Cambria" w:eastAsiaTheme="majorEastAsia" w:hAnsi="Cambria" w:cstheme="minorHAnsi"/>
                <w:i/>
                <w:spacing w:val="-10"/>
                <w:kern w:val="28"/>
              </w:rPr>
              <w:t>User’s Guide</w:t>
            </w:r>
            <w:r w:rsidRPr="006967CF">
              <w:rPr>
                <w:rFonts w:ascii="Cambria" w:eastAsiaTheme="majorEastAsia" w:hAnsi="Cambria" w:cstheme="minorHAnsi"/>
                <w:spacing w:val="-10"/>
                <w:kern w:val="28"/>
              </w:rPr>
              <w:t xml:space="preserve"> illustrating thoroughly the steps that the user should follow, in order to perform an analysis of the regional context. The section </w:t>
            </w:r>
            <w:r w:rsidRPr="006967CF">
              <w:rPr>
                <w:rFonts w:ascii="Cambria" w:eastAsiaTheme="majorEastAsia" w:hAnsi="Cambria" w:cstheme="minorHAnsi"/>
                <w:i/>
                <w:spacing w:val="-10"/>
                <w:kern w:val="28"/>
              </w:rPr>
              <w:t>Related documents</w:t>
            </w:r>
            <w:r w:rsidRPr="006967CF">
              <w:rPr>
                <w:rFonts w:ascii="Cambria" w:eastAsiaTheme="majorEastAsia" w:hAnsi="Cambria" w:cstheme="minorHAnsi"/>
                <w:spacing w:val="-10"/>
                <w:kern w:val="28"/>
              </w:rPr>
              <w:t xml:space="preserve"> includes a set of RIS3 strategies that have been developed and have used the benchmarking methodology for their design. The application roadmap is provided below.</w:t>
            </w:r>
          </w:p>
        </w:tc>
        <w:tc>
          <w:tcPr>
            <w:tcW w:w="4675"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43" w:history="1">
              <w:r w:rsidRPr="00F644F2">
                <w:rPr>
                  <w:rStyle w:val="Hyperlink"/>
                  <w:rFonts w:cstheme="minorHAnsi"/>
                </w:rPr>
                <w:t>http://assetsmapping.s3platform.eu/</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44" w:history="1">
              <w:r w:rsidRPr="00F644F2">
                <w:rPr>
                  <w:rStyle w:val="Hyperlink"/>
                  <w:rFonts w:cstheme="minorHAnsi"/>
                </w:rPr>
                <w:t>https://github.com/OnlineS3/2.1.-Regional-assets-mapping</w:t>
              </w:r>
            </w:hyperlink>
            <w:r>
              <w:rPr>
                <w:rFonts w:cstheme="minorHAnsi"/>
              </w:rPr>
              <w:t xml:space="preserve"> </w:t>
            </w:r>
          </w:p>
        </w:tc>
      </w:tr>
    </w:tbl>
    <w:p w:rsidR="00A0018C" w:rsidRDefault="00A0018C" w:rsidP="00A0018C"/>
    <w:p w:rsidR="009B207B" w:rsidRDefault="009B207B" w:rsidP="00A0018C"/>
    <w:tbl>
      <w:tblPr>
        <w:tblStyle w:val="TableGrid"/>
        <w:tblW w:w="0" w:type="auto"/>
        <w:tblLook w:val="04A0" w:firstRow="1" w:lastRow="0" w:firstColumn="1" w:lastColumn="0" w:noHBand="0" w:noVBand="1"/>
      </w:tblPr>
      <w:tblGrid>
        <w:gridCol w:w="3185"/>
        <w:gridCol w:w="5831"/>
      </w:tblGrid>
      <w:tr w:rsidR="00A0018C" w:rsidRPr="00F43B7E" w:rsidTr="00A453B4">
        <w:tc>
          <w:tcPr>
            <w:tcW w:w="3519" w:type="dxa"/>
            <w:tcBorders>
              <w:bottom w:val="nil"/>
            </w:tcBorders>
            <w:shd w:val="clear" w:color="auto" w:fill="8CBA55"/>
          </w:tcPr>
          <w:p w:rsidR="00A0018C" w:rsidRPr="006967CF" w:rsidRDefault="00A0018C" w:rsidP="006967CF">
            <w:pPr>
              <w:rPr>
                <w:rFonts w:ascii="Cambria" w:hAnsi="Cambria" w:cstheme="minorHAnsi"/>
                <w:b/>
              </w:rPr>
            </w:pPr>
            <w:r w:rsidRPr="006967CF">
              <w:rPr>
                <w:rFonts w:ascii="Cambria" w:hAnsi="Cambria" w:cstheme="minorHAnsi"/>
                <w:b/>
              </w:rPr>
              <w:lastRenderedPageBreak/>
              <w:t>2.2. Research infrastructure mapping</w:t>
            </w:r>
          </w:p>
        </w:tc>
        <w:tc>
          <w:tcPr>
            <w:tcW w:w="5831" w:type="dxa"/>
            <w:vMerge w:val="restart"/>
            <w:tcBorders>
              <w:bottom w:val="nil"/>
            </w:tcBorders>
            <w:vAlign w:val="center"/>
          </w:tcPr>
          <w:p w:rsidR="00A0018C" w:rsidRPr="00F43B7E" w:rsidRDefault="00A0018C" w:rsidP="00A453B4">
            <w:pPr>
              <w:jc w:val="center"/>
              <w:rPr>
                <w:rFonts w:cstheme="minorHAnsi"/>
              </w:rPr>
            </w:pPr>
            <w:r w:rsidRPr="00943760">
              <w:rPr>
                <w:rFonts w:cstheme="minorHAnsi"/>
                <w:noProof/>
              </w:rPr>
              <w:drawing>
                <wp:inline distT="0" distB="0" distL="0" distR="0" wp14:anchorId="450297E5" wp14:editId="0F8A146C">
                  <wp:extent cx="3565578" cy="2667000"/>
                  <wp:effectExtent l="0" t="0" r="0" b="0"/>
                  <wp:docPr id="5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ep1.png"/>
                          <pic:cNvPicPr/>
                        </pic:nvPicPr>
                        <pic:blipFill rotWithShape="1">
                          <a:blip r:embed="rId45" cstate="print">
                            <a:extLst>
                              <a:ext uri="{28A0092B-C50C-407E-A947-70E740481C1C}">
                                <a14:useLocalDpi xmlns:a14="http://schemas.microsoft.com/office/drawing/2010/main" val="0"/>
                              </a:ext>
                            </a:extLst>
                          </a:blip>
                          <a:srcRect t="4225" b="12108"/>
                          <a:stretch/>
                        </pic:blipFill>
                        <pic:spPr bwMode="auto">
                          <a:xfrm>
                            <a:off x="0" y="0"/>
                            <a:ext cx="3574693" cy="2673818"/>
                          </a:xfrm>
                          <a:prstGeom prst="rect">
                            <a:avLst/>
                          </a:prstGeom>
                          <a:ln>
                            <a:noFill/>
                          </a:ln>
                          <a:extLst>
                            <a:ext uri="{53640926-AAD7-44D8-BBD7-CCE9431645EC}">
                              <a14:shadowObscured xmlns:a14="http://schemas.microsoft.com/office/drawing/2010/main"/>
                            </a:ext>
                          </a:extLst>
                        </pic:spPr>
                      </pic:pic>
                    </a:graphicData>
                  </a:graphic>
                </wp:inline>
              </w:drawing>
            </w:r>
          </w:p>
        </w:tc>
      </w:tr>
      <w:tr w:rsidR="00A0018C" w:rsidRPr="00F43B7E" w:rsidTr="00A453B4">
        <w:trPr>
          <w:trHeight w:val="5239"/>
        </w:trPr>
        <w:tc>
          <w:tcPr>
            <w:tcW w:w="3519" w:type="dxa"/>
            <w:vMerge w:val="restart"/>
            <w:tcBorders>
              <w:top w:val="nil"/>
            </w:tcBorders>
          </w:tcPr>
          <w:p w:rsidR="00A0018C" w:rsidRPr="006967CF" w:rsidRDefault="00A0018C" w:rsidP="006967CF">
            <w:pPr>
              <w:spacing w:before="120" w:after="120"/>
              <w:rPr>
                <w:rFonts w:ascii="Cambria" w:eastAsiaTheme="majorEastAsia" w:hAnsi="Cambria" w:cstheme="minorHAnsi"/>
                <w:spacing w:val="-10"/>
                <w:kern w:val="28"/>
              </w:rPr>
            </w:pPr>
            <w:r w:rsidRPr="006967CF">
              <w:rPr>
                <w:rFonts w:ascii="Cambria" w:eastAsiaTheme="majorEastAsia" w:hAnsi="Cambria" w:cstheme="minorHAnsi"/>
                <w:spacing w:val="-10"/>
                <w:kern w:val="28"/>
              </w:rPr>
              <w:t>The development of the application targets on providing the platform user with a mapping visualization tool of the research infrastructures across Europe. The research infrastructures that are included in this application have been collected using data from the MERIL portal (</w:t>
            </w:r>
            <w:hyperlink r:id="rId46" w:history="1">
              <w:r w:rsidRPr="006967CF">
                <w:rPr>
                  <w:rStyle w:val="Hyperlink"/>
                  <w:rFonts w:ascii="Cambria" w:eastAsiaTheme="majorEastAsia" w:hAnsi="Cambria" w:cstheme="minorHAnsi"/>
                  <w:spacing w:val="-10"/>
                  <w:kern w:val="28"/>
                </w:rPr>
                <w:t>https://portal.meril.eu/meril/</w:t>
              </w:r>
            </w:hyperlink>
            <w:r w:rsidRPr="006967CF">
              <w:rPr>
                <w:rFonts w:ascii="Cambria" w:eastAsiaTheme="majorEastAsia" w:hAnsi="Cambria" w:cstheme="minorHAnsi"/>
                <w:spacing w:val="-10"/>
                <w:kern w:val="28"/>
              </w:rPr>
              <w:t>). The complementary character of this application is based on the additional features provided, such as the mapping and the report extracted by the user.</w:t>
            </w:r>
          </w:p>
          <w:p w:rsidR="00A0018C" w:rsidRPr="006967CF" w:rsidRDefault="00A0018C" w:rsidP="006967CF">
            <w:pPr>
              <w:spacing w:before="120" w:after="120"/>
              <w:rPr>
                <w:rFonts w:ascii="Cambria" w:eastAsiaTheme="majorEastAsia" w:hAnsi="Cambria" w:cstheme="minorHAnsi"/>
                <w:spacing w:val="-10"/>
                <w:kern w:val="28"/>
              </w:rPr>
            </w:pPr>
            <w:r w:rsidRPr="006967CF">
              <w:rPr>
                <w:rFonts w:ascii="Cambria" w:eastAsiaTheme="majorEastAsia" w:hAnsi="Cambria" w:cstheme="minorHAnsi"/>
                <w:spacing w:val="-10"/>
                <w:kern w:val="28"/>
              </w:rPr>
              <w:t xml:space="preserve">The application provides an </w:t>
            </w:r>
            <w:r w:rsidRPr="006967CF">
              <w:rPr>
                <w:rFonts w:ascii="Cambria" w:eastAsiaTheme="majorEastAsia" w:hAnsi="Cambria" w:cstheme="minorHAnsi"/>
                <w:i/>
                <w:spacing w:val="-10"/>
                <w:kern w:val="28"/>
              </w:rPr>
              <w:t>About</w:t>
            </w:r>
            <w:r w:rsidRPr="006967CF">
              <w:rPr>
                <w:rFonts w:ascii="Cambria" w:eastAsiaTheme="majorEastAsia" w:hAnsi="Cambria" w:cstheme="minorHAnsi"/>
                <w:spacing w:val="-10"/>
                <w:kern w:val="28"/>
              </w:rPr>
              <w:t xml:space="preserve"> page describing the main rationale behind its development and structure, as well as a full </w:t>
            </w:r>
            <w:r w:rsidRPr="006967CF">
              <w:rPr>
                <w:rFonts w:ascii="Cambria" w:eastAsiaTheme="majorEastAsia" w:hAnsi="Cambria" w:cstheme="minorHAnsi"/>
                <w:i/>
                <w:spacing w:val="-10"/>
                <w:kern w:val="28"/>
              </w:rPr>
              <w:t>User’s Guide</w:t>
            </w:r>
            <w:r w:rsidRPr="006967CF">
              <w:rPr>
                <w:rFonts w:ascii="Cambria" w:eastAsiaTheme="majorEastAsia" w:hAnsi="Cambria" w:cstheme="minorHAnsi"/>
                <w:spacing w:val="-10"/>
                <w:kern w:val="28"/>
              </w:rPr>
              <w:t xml:space="preserve"> illustrating thoroughly the steps that the user should follow, in order to visualize and extract information on existing research infrastructures. The section Related documents includes a set of ESFRI Strategy Reports and Roadmaps since 2006. </w:t>
            </w:r>
          </w:p>
        </w:tc>
        <w:tc>
          <w:tcPr>
            <w:tcW w:w="5831" w:type="dxa"/>
            <w:vMerge/>
            <w:tcBorders>
              <w:top w:val="nil"/>
              <w:bottom w:val="nil"/>
            </w:tcBorders>
          </w:tcPr>
          <w:p w:rsidR="00A0018C" w:rsidRPr="00F43B7E" w:rsidRDefault="00A0018C" w:rsidP="00A453B4">
            <w:pPr>
              <w:rPr>
                <w:rFonts w:cstheme="minorHAnsi"/>
              </w:rPr>
            </w:pPr>
          </w:p>
        </w:tc>
      </w:tr>
      <w:tr w:rsidR="00A0018C" w:rsidRPr="00F43B7E" w:rsidTr="00A453B4">
        <w:trPr>
          <w:trHeight w:val="564"/>
        </w:trPr>
        <w:tc>
          <w:tcPr>
            <w:tcW w:w="3519" w:type="dxa"/>
            <w:vMerge/>
          </w:tcPr>
          <w:p w:rsidR="00A0018C" w:rsidRPr="00F43B7E" w:rsidRDefault="00A0018C" w:rsidP="00A453B4">
            <w:pPr>
              <w:rPr>
                <w:rFonts w:cstheme="minorHAnsi"/>
              </w:rPr>
            </w:pPr>
          </w:p>
        </w:tc>
        <w:tc>
          <w:tcPr>
            <w:tcW w:w="5831"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47" w:history="1">
              <w:r w:rsidRPr="00F644F2">
                <w:rPr>
                  <w:rStyle w:val="Hyperlink"/>
                  <w:rFonts w:eastAsiaTheme="majorEastAsia" w:cstheme="minorHAnsi"/>
                  <w:spacing w:val="-10"/>
                  <w:kern w:val="28"/>
                </w:rPr>
                <w:t>http://rimapping.s3platform.eu/</w:t>
              </w:r>
            </w:hyperlink>
            <w:r>
              <w:rPr>
                <w:rFonts w:eastAsiaTheme="majorEastAsia" w:cstheme="minorHAnsi"/>
                <w:spacing w:val="-10"/>
                <w:kern w:val="28"/>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48" w:history="1">
              <w:r w:rsidRPr="00943760">
                <w:rPr>
                  <w:rStyle w:val="Hyperlink"/>
                  <w:rFonts w:cstheme="minorHAnsi"/>
                  <w:sz w:val="18"/>
                  <w:szCs w:val="18"/>
                </w:rPr>
                <w:t>https://github.com/OnlineS3/2.2.-Research-infrastructure-mapping</w:t>
              </w:r>
            </w:hyperlink>
          </w:p>
        </w:tc>
      </w:tr>
    </w:tbl>
    <w:p w:rsidR="00A0018C" w:rsidRDefault="00A0018C" w:rsidP="00A0018C"/>
    <w:tbl>
      <w:tblPr>
        <w:tblStyle w:val="TableGrid"/>
        <w:tblW w:w="0" w:type="auto"/>
        <w:tblLook w:val="04A0" w:firstRow="1" w:lastRow="0" w:firstColumn="1" w:lastColumn="0" w:noHBand="0" w:noVBand="1"/>
      </w:tblPr>
      <w:tblGrid>
        <w:gridCol w:w="3793"/>
        <w:gridCol w:w="5223"/>
      </w:tblGrid>
      <w:tr w:rsidR="00A0018C" w:rsidRPr="00F43B7E" w:rsidTr="00A453B4">
        <w:tc>
          <w:tcPr>
            <w:tcW w:w="4675" w:type="dxa"/>
            <w:tcBorders>
              <w:bottom w:val="nil"/>
            </w:tcBorders>
            <w:shd w:val="clear" w:color="auto" w:fill="8CBA55"/>
          </w:tcPr>
          <w:p w:rsidR="00A0018C" w:rsidRPr="006967CF" w:rsidRDefault="00A0018C" w:rsidP="00A453B4">
            <w:pPr>
              <w:rPr>
                <w:rFonts w:ascii="Cambria" w:hAnsi="Cambria" w:cstheme="minorHAnsi"/>
                <w:b/>
              </w:rPr>
            </w:pPr>
            <w:r w:rsidRPr="006967CF">
              <w:rPr>
                <w:rFonts w:ascii="Cambria" w:hAnsi="Cambria" w:cstheme="minorHAnsi"/>
                <w:b/>
              </w:rPr>
              <w:t>2.3. Clusters, incubators &amp; innovation ecosystems mapping</w:t>
            </w:r>
          </w:p>
        </w:tc>
        <w:tc>
          <w:tcPr>
            <w:tcW w:w="4675" w:type="dxa"/>
            <w:vMerge w:val="restart"/>
            <w:tcBorders>
              <w:bottom w:val="nil"/>
            </w:tcBorders>
            <w:vAlign w:val="center"/>
          </w:tcPr>
          <w:p w:rsidR="00A0018C" w:rsidRPr="00F43B7E" w:rsidRDefault="00A0018C" w:rsidP="00A453B4">
            <w:pPr>
              <w:jc w:val="center"/>
              <w:rPr>
                <w:rFonts w:cstheme="minorHAnsi"/>
              </w:rPr>
            </w:pPr>
            <w:r>
              <w:object w:dxaOrig="17505" w:dyaOrig="11775">
                <v:shape id="_x0000_i1029" type="#_x0000_t75" style="width:250.3pt;height:168.4pt" o:ole="">
                  <v:imagedata r:id="rId49" o:title=""/>
                </v:shape>
                <o:OLEObject Type="Embed" ProgID="PBrush" ShapeID="_x0000_i1029" DrawAspect="Content" ObjectID="_1591864457" r:id="rId50"/>
              </w:object>
            </w:r>
          </w:p>
        </w:tc>
      </w:tr>
      <w:tr w:rsidR="00A0018C" w:rsidRPr="00F43B7E" w:rsidTr="00A453B4">
        <w:trPr>
          <w:trHeight w:val="3938"/>
        </w:trPr>
        <w:tc>
          <w:tcPr>
            <w:tcW w:w="4675" w:type="dxa"/>
            <w:vMerge w:val="restart"/>
            <w:tcBorders>
              <w:top w:val="nil"/>
            </w:tcBorders>
          </w:tcPr>
          <w:p w:rsidR="00A0018C" w:rsidRPr="006967CF" w:rsidRDefault="00A0018C" w:rsidP="00A453B4">
            <w:pPr>
              <w:spacing w:before="120" w:after="120"/>
              <w:jc w:val="both"/>
              <w:rPr>
                <w:rFonts w:ascii="Cambria" w:eastAsiaTheme="majorEastAsia" w:hAnsi="Cambria" w:cstheme="minorHAnsi"/>
                <w:spacing w:val="-10"/>
                <w:kern w:val="28"/>
              </w:rPr>
            </w:pPr>
            <w:r w:rsidRPr="006967CF">
              <w:rPr>
                <w:rFonts w:ascii="Cambria" w:eastAsiaTheme="majorEastAsia" w:hAnsi="Cambria" w:cstheme="minorHAnsi"/>
                <w:spacing w:val="-10"/>
                <w:kern w:val="28"/>
              </w:rPr>
              <w:t>The development of the application targets on providing the user with information on how to use al</w:t>
            </w:r>
            <w:r w:rsidR="006967CF" w:rsidRPr="006967CF">
              <w:rPr>
                <w:rFonts w:ascii="Cambria" w:eastAsiaTheme="majorEastAsia" w:hAnsi="Cambria" w:cstheme="minorHAnsi"/>
                <w:spacing w:val="-10"/>
                <w:kern w:val="28"/>
              </w:rPr>
              <w:t>ready developed tools in regard</w:t>
            </w:r>
            <w:r w:rsidRPr="006967CF">
              <w:rPr>
                <w:rFonts w:ascii="Cambria" w:eastAsiaTheme="majorEastAsia" w:hAnsi="Cambria" w:cstheme="minorHAnsi"/>
                <w:spacing w:val="-10"/>
                <w:kern w:val="28"/>
              </w:rPr>
              <w:t xml:space="preserve"> to the mapping of clusters. </w:t>
            </w:r>
          </w:p>
          <w:p w:rsidR="00A0018C" w:rsidRPr="006967CF" w:rsidRDefault="00A0018C" w:rsidP="00A453B4">
            <w:pPr>
              <w:spacing w:before="120" w:after="120"/>
              <w:jc w:val="both"/>
              <w:rPr>
                <w:rFonts w:ascii="Cambria" w:eastAsiaTheme="majorEastAsia" w:hAnsi="Cambria" w:cstheme="minorHAnsi"/>
                <w:spacing w:val="-10"/>
                <w:kern w:val="28"/>
              </w:rPr>
            </w:pPr>
            <w:r w:rsidRPr="006967CF">
              <w:rPr>
                <w:rFonts w:ascii="Cambria" w:eastAsiaTheme="majorEastAsia" w:hAnsi="Cambria" w:cstheme="minorHAnsi"/>
                <w:spacing w:val="-10"/>
                <w:kern w:val="28"/>
              </w:rPr>
              <w:t xml:space="preserve">The use of this tool would lead to a better definition of those niches in which regions have a competitive advantage, and a better definition of local business needs. This would allow more considerate development of future research and innovation policy, promoting targeted initiatives (i.e. research collaboration agreements, training of human capital, creation of competence centres, business start-up schemes in specific fields, PhD scholarships or technical schools), unveiling potential areas of integration </w:t>
            </w:r>
            <w:r w:rsidRPr="006967CF">
              <w:rPr>
                <w:rFonts w:ascii="Cambria" w:eastAsiaTheme="majorEastAsia" w:hAnsi="Cambria" w:cstheme="minorHAnsi"/>
                <w:spacing w:val="-10"/>
                <w:kern w:val="28"/>
              </w:rPr>
              <w:lastRenderedPageBreak/>
              <w:t>with local research institutions and helping to avoid duplications and redundancies.</w:t>
            </w:r>
          </w:p>
        </w:tc>
        <w:tc>
          <w:tcPr>
            <w:tcW w:w="4675" w:type="dxa"/>
            <w:vMerge/>
            <w:tcBorders>
              <w:top w:val="nil"/>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Default="00A0018C" w:rsidP="00A453B4">
            <w:pPr>
              <w:rPr>
                <w:rFonts w:cstheme="minorHAnsi"/>
              </w:rPr>
            </w:pPr>
            <w:r w:rsidRPr="00F43B7E">
              <w:rPr>
                <w:rFonts w:cstheme="minorHAnsi"/>
                <w:b/>
              </w:rPr>
              <w:t>Link:</w:t>
            </w:r>
            <w:r w:rsidRPr="00F43B7E">
              <w:rPr>
                <w:rFonts w:cstheme="minorHAnsi"/>
              </w:rPr>
              <w:t xml:space="preserve"> </w:t>
            </w:r>
            <w:hyperlink r:id="rId51" w:history="1">
              <w:r w:rsidRPr="00943760">
                <w:rPr>
                  <w:rStyle w:val="Hyperlink"/>
                  <w:rFonts w:eastAsiaTheme="majorEastAsia" w:cstheme="minorHAnsi"/>
                  <w:spacing w:val="-10"/>
                  <w:kern w:val="28"/>
                </w:rPr>
                <w:t>http://ecosystemsmapping.s3platform.eu/</w:t>
              </w:r>
            </w:hyperlink>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52" w:history="1">
              <w:r w:rsidRPr="00943760">
                <w:rPr>
                  <w:rStyle w:val="Hyperlink"/>
                  <w:rFonts w:cstheme="minorHAnsi"/>
                  <w:sz w:val="18"/>
                  <w:szCs w:val="18"/>
                </w:rPr>
                <w:t>https://github.com/OnlineS3/2.3.-Clusters-incubators-and-innovation-ecosystem-mapping</w:t>
              </w:r>
            </w:hyperlink>
          </w:p>
        </w:tc>
      </w:tr>
    </w:tbl>
    <w:p w:rsidR="00A0018C" w:rsidRDefault="00A0018C" w:rsidP="00A0018C"/>
    <w:tbl>
      <w:tblPr>
        <w:tblStyle w:val="TableGrid"/>
        <w:tblW w:w="0" w:type="auto"/>
        <w:tblLook w:val="04A0" w:firstRow="1" w:lastRow="0" w:firstColumn="1" w:lastColumn="0" w:noHBand="0" w:noVBand="1"/>
      </w:tblPr>
      <w:tblGrid>
        <w:gridCol w:w="4373"/>
        <w:gridCol w:w="4643"/>
      </w:tblGrid>
      <w:tr w:rsidR="00A0018C" w:rsidRPr="00F43B7E" w:rsidTr="00A453B4">
        <w:tc>
          <w:tcPr>
            <w:tcW w:w="4675" w:type="dxa"/>
            <w:tcBorders>
              <w:bottom w:val="nil"/>
            </w:tcBorders>
            <w:shd w:val="clear" w:color="auto" w:fill="8CBA55"/>
          </w:tcPr>
          <w:p w:rsidR="00A0018C" w:rsidRPr="006967CF" w:rsidRDefault="00A0018C" w:rsidP="006967CF">
            <w:pPr>
              <w:rPr>
                <w:rFonts w:ascii="Cambria" w:hAnsi="Cambria" w:cstheme="minorHAnsi"/>
                <w:b/>
              </w:rPr>
            </w:pPr>
            <w:r w:rsidRPr="006967CF">
              <w:rPr>
                <w:rFonts w:ascii="Cambria" w:hAnsi="Cambria" w:cstheme="minorHAnsi"/>
                <w:b/>
              </w:rPr>
              <w:t>2.4. Benchmarking</w:t>
            </w:r>
          </w:p>
        </w:tc>
        <w:tc>
          <w:tcPr>
            <w:tcW w:w="4675" w:type="dxa"/>
            <w:vMerge w:val="restart"/>
            <w:tcBorders>
              <w:bottom w:val="nil"/>
            </w:tcBorders>
            <w:vAlign w:val="center"/>
          </w:tcPr>
          <w:p w:rsidR="00A0018C" w:rsidRPr="00F43B7E" w:rsidRDefault="00A0018C" w:rsidP="00A453B4">
            <w:pPr>
              <w:jc w:val="center"/>
              <w:rPr>
                <w:rFonts w:cstheme="minorHAnsi"/>
              </w:rPr>
            </w:pPr>
            <w:r w:rsidRPr="00943760">
              <w:rPr>
                <w:rFonts w:cstheme="minorHAnsi"/>
                <w:noProof/>
              </w:rPr>
              <w:drawing>
                <wp:inline distT="0" distB="0" distL="0" distR="0" wp14:anchorId="3F3E19BF" wp14:editId="4C6E9C29">
                  <wp:extent cx="2495550" cy="2285365"/>
                  <wp:effectExtent l="38100" t="38100" r="95250" b="95885"/>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14.png"/>
                          <pic:cNvPicPr/>
                        </pic:nvPicPr>
                        <pic:blipFill rotWithShape="1">
                          <a:blip r:embed="rId53" cstate="print">
                            <a:extLst>
                              <a:ext uri="{28A0092B-C50C-407E-A947-70E740481C1C}">
                                <a14:useLocalDpi xmlns:a14="http://schemas.microsoft.com/office/drawing/2010/main" val="0"/>
                              </a:ext>
                            </a:extLst>
                          </a:blip>
                          <a:srcRect r="24099"/>
                          <a:stretch/>
                        </pic:blipFill>
                        <pic:spPr bwMode="auto">
                          <a:xfrm>
                            <a:off x="0" y="0"/>
                            <a:ext cx="2525670" cy="2312948"/>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A0018C" w:rsidRPr="00F43B7E" w:rsidTr="00A453B4">
        <w:trPr>
          <w:trHeight w:val="4402"/>
        </w:trPr>
        <w:tc>
          <w:tcPr>
            <w:tcW w:w="4675" w:type="dxa"/>
            <w:vMerge w:val="restart"/>
            <w:tcBorders>
              <w:top w:val="nil"/>
            </w:tcBorders>
          </w:tcPr>
          <w:p w:rsidR="00A0018C" w:rsidRPr="006967CF" w:rsidRDefault="00A0018C" w:rsidP="006967CF">
            <w:pPr>
              <w:spacing w:before="120" w:after="120"/>
              <w:rPr>
                <w:rFonts w:ascii="Cambria" w:eastAsiaTheme="majorEastAsia" w:hAnsi="Cambria" w:cstheme="minorHAnsi"/>
                <w:spacing w:val="-10"/>
                <w:kern w:val="28"/>
              </w:rPr>
            </w:pPr>
            <w:r w:rsidRPr="006967CF">
              <w:rPr>
                <w:rFonts w:ascii="Cambria" w:eastAsiaTheme="majorEastAsia" w:hAnsi="Cambria" w:cstheme="minorHAnsi"/>
                <w:spacing w:val="-10"/>
                <w:kern w:val="28"/>
              </w:rPr>
              <w:t>Given the fact that benchmarking is one of the most prevailing RIS3 methods applied essentially by many regions, Benchmarking tool is the main tool for performing more sophisticated computational comparisons between regions, into a web-based dashboard. This application helps RIS3 stakeholders to derive basic information regarding the place of their region compared to others, in a quick manner.</w:t>
            </w:r>
          </w:p>
          <w:p w:rsidR="00A0018C" w:rsidRPr="006967CF" w:rsidRDefault="00A0018C" w:rsidP="006967CF">
            <w:pPr>
              <w:spacing w:before="120" w:after="120"/>
              <w:rPr>
                <w:rFonts w:ascii="Cambria" w:eastAsiaTheme="majorEastAsia" w:hAnsi="Cambria" w:cstheme="minorHAnsi"/>
                <w:spacing w:val="-10"/>
                <w:kern w:val="28"/>
              </w:rPr>
            </w:pPr>
            <w:r w:rsidRPr="006967CF">
              <w:rPr>
                <w:rFonts w:ascii="Cambria" w:eastAsiaTheme="majorEastAsia" w:hAnsi="Cambria" w:cstheme="minorHAnsi"/>
                <w:spacing w:val="-10"/>
                <w:kern w:val="28"/>
              </w:rPr>
              <w:t>The proposed tool provides a web interface where users can import regional data and then select a region of their preference to compare it against other regions. Various statistical metrics are obtained (minimum, maximum, mean, quartiles, Kernel density diagrams etc.). Τhe user can export benchmarking results in the form of tables and figures, or print the final benchmarking report produced by this application. This framework provides the user with the ability to import his own data, by importing an excel file from his local space or use regional data using Regional Assets Mapping tool.</w:t>
            </w:r>
          </w:p>
        </w:tc>
        <w:tc>
          <w:tcPr>
            <w:tcW w:w="4675" w:type="dxa"/>
            <w:vMerge/>
            <w:tcBorders>
              <w:top w:val="nil"/>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54" w:history="1">
              <w:r w:rsidRPr="00F644F2">
                <w:rPr>
                  <w:rStyle w:val="Hyperlink"/>
                  <w:rFonts w:cstheme="minorHAnsi"/>
                </w:rPr>
                <w:t>http://benchmarking.s3platform.eu/</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55" w:history="1">
              <w:r w:rsidRPr="005B45FB">
                <w:rPr>
                  <w:rStyle w:val="Hyperlink"/>
                  <w:rFonts w:cstheme="minorHAnsi"/>
                  <w:szCs w:val="18"/>
                </w:rPr>
                <w:t>https://github.com/OnlineS3/2.4.-Benchmarking</w:t>
              </w:r>
            </w:hyperlink>
          </w:p>
        </w:tc>
      </w:tr>
    </w:tbl>
    <w:p w:rsidR="00A0018C" w:rsidRDefault="00A0018C" w:rsidP="00A0018C"/>
    <w:tbl>
      <w:tblPr>
        <w:tblStyle w:val="TableGrid"/>
        <w:tblW w:w="0" w:type="auto"/>
        <w:tblLook w:val="04A0" w:firstRow="1" w:lastRow="0" w:firstColumn="1" w:lastColumn="0" w:noHBand="0" w:noVBand="1"/>
      </w:tblPr>
      <w:tblGrid>
        <w:gridCol w:w="3610"/>
        <w:gridCol w:w="5406"/>
      </w:tblGrid>
      <w:tr w:rsidR="00A0018C" w:rsidRPr="00F43B7E" w:rsidTr="00A453B4">
        <w:tc>
          <w:tcPr>
            <w:tcW w:w="4675" w:type="dxa"/>
            <w:tcBorders>
              <w:bottom w:val="nil"/>
            </w:tcBorders>
            <w:shd w:val="clear" w:color="auto" w:fill="8CBA55"/>
          </w:tcPr>
          <w:p w:rsidR="00A0018C" w:rsidRPr="00F43B7E" w:rsidRDefault="00A0018C" w:rsidP="00A453B4">
            <w:pPr>
              <w:rPr>
                <w:rFonts w:cstheme="minorHAnsi"/>
                <w:b/>
              </w:rPr>
            </w:pPr>
            <w:r>
              <w:rPr>
                <w:rFonts w:cstheme="minorHAnsi"/>
                <w:b/>
              </w:rPr>
              <w:t>2.5.</w:t>
            </w:r>
            <w:r w:rsidR="006967CF">
              <w:rPr>
                <w:rFonts w:cstheme="minorHAnsi"/>
                <w:b/>
              </w:rPr>
              <w:t xml:space="preserve"> </w:t>
            </w:r>
            <w:r w:rsidRPr="005B45FB">
              <w:rPr>
                <w:rFonts w:cstheme="minorHAnsi"/>
                <w:b/>
              </w:rPr>
              <w:t>Regional scientific production profile</w:t>
            </w:r>
          </w:p>
        </w:tc>
        <w:tc>
          <w:tcPr>
            <w:tcW w:w="4675" w:type="dxa"/>
            <w:vMerge w:val="restart"/>
            <w:tcBorders>
              <w:bottom w:val="nil"/>
            </w:tcBorders>
            <w:vAlign w:val="center"/>
          </w:tcPr>
          <w:p w:rsidR="00A0018C" w:rsidRPr="00F43B7E" w:rsidRDefault="00A0018C" w:rsidP="00A453B4">
            <w:pPr>
              <w:jc w:val="center"/>
              <w:rPr>
                <w:rFonts w:cstheme="minorHAnsi"/>
              </w:rPr>
            </w:pPr>
            <w:r>
              <w:object w:dxaOrig="17715" w:dyaOrig="2175">
                <v:shape id="_x0000_i1030" type="#_x0000_t75" style="width:254.2pt;height:32.1pt" o:ole="">
                  <v:imagedata r:id="rId56" o:title=""/>
                </v:shape>
                <o:OLEObject Type="Embed" ProgID="PBrush" ShapeID="_x0000_i1030" DrawAspect="Content" ObjectID="_1591864458" r:id="rId57"/>
              </w:object>
            </w:r>
            <w:r w:rsidRPr="00943760">
              <w:rPr>
                <w:rFonts w:cstheme="minorHAnsi"/>
                <w:noProof/>
              </w:rPr>
              <w:drawing>
                <wp:inline distT="0" distB="0" distL="0" distR="0" wp14:anchorId="4A69C0B0" wp14:editId="5611FA13">
                  <wp:extent cx="3286125" cy="1971675"/>
                  <wp:effectExtent l="0" t="0" r="9525" b="9525"/>
                  <wp:docPr id="5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ep6.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86125" cy="1971675"/>
                          </a:xfrm>
                          <a:prstGeom prst="rect">
                            <a:avLst/>
                          </a:prstGeom>
                        </pic:spPr>
                      </pic:pic>
                    </a:graphicData>
                  </a:graphic>
                </wp:inline>
              </w:drawing>
            </w:r>
          </w:p>
        </w:tc>
      </w:tr>
      <w:tr w:rsidR="00A0018C" w:rsidRPr="00F43B7E" w:rsidTr="00A453B4">
        <w:trPr>
          <w:trHeight w:val="4887"/>
        </w:trPr>
        <w:tc>
          <w:tcPr>
            <w:tcW w:w="4675" w:type="dxa"/>
            <w:vMerge w:val="restart"/>
            <w:tcBorders>
              <w:top w:val="nil"/>
            </w:tcBorders>
          </w:tcPr>
          <w:p w:rsidR="00A0018C" w:rsidRPr="006967CF" w:rsidRDefault="00A0018C" w:rsidP="003A6E99">
            <w:pPr>
              <w:spacing w:before="120"/>
              <w:rPr>
                <w:rFonts w:ascii="Cambria" w:eastAsiaTheme="majorEastAsia" w:hAnsi="Cambria" w:cstheme="minorHAnsi"/>
                <w:spacing w:val="-10"/>
                <w:kern w:val="28"/>
              </w:rPr>
            </w:pPr>
            <w:r w:rsidRPr="006967CF">
              <w:rPr>
                <w:rFonts w:ascii="Cambria" w:eastAsiaTheme="majorEastAsia" w:hAnsi="Cambria" w:cstheme="minorHAnsi"/>
                <w:spacing w:val="-10"/>
                <w:kern w:val="28"/>
              </w:rPr>
              <w:t xml:space="preserve">The development of the application targets on providing a bibliometric analysis of the scientific performance of regions. The scientific production profiles are generally based on a selected set of bibliometric indicators that aim to compare scientific performance across geographies (regions, but also countries). Scientific profiles and regional benchmarking of these profiles are important for the analysis of the context of a region as it facilitates a comparison of all aspects of a region’s performance in relation to science, main fields of science and specialisation patterns of regional academic systems. When benchmarked to other regions, it can be a valuable tool to identify weaknesses and strengths, </w:t>
            </w:r>
            <w:r w:rsidRPr="006967CF">
              <w:rPr>
                <w:rFonts w:ascii="Cambria" w:eastAsiaTheme="majorEastAsia" w:hAnsi="Cambria" w:cstheme="minorHAnsi"/>
                <w:spacing w:val="-10"/>
                <w:kern w:val="28"/>
              </w:rPr>
              <w:lastRenderedPageBreak/>
              <w:t>and link them to overall regional performance.</w:t>
            </w:r>
          </w:p>
          <w:p w:rsidR="00A0018C" w:rsidRPr="009E554A" w:rsidRDefault="00A0018C" w:rsidP="00A453B4">
            <w:pPr>
              <w:spacing w:before="120"/>
              <w:jc w:val="both"/>
              <w:rPr>
                <w:rFonts w:eastAsiaTheme="majorEastAsia" w:cstheme="minorHAnsi"/>
                <w:spacing w:val="-10"/>
                <w:kern w:val="28"/>
                <w:lang w:val="el-GR"/>
              </w:rPr>
            </w:pPr>
            <w:r w:rsidRPr="006967CF">
              <w:rPr>
                <w:rFonts w:ascii="Cambria" w:eastAsiaTheme="majorEastAsia" w:hAnsi="Cambria" w:cstheme="minorHAnsi"/>
                <w:spacing w:val="-10"/>
                <w:kern w:val="28"/>
              </w:rPr>
              <w:t xml:space="preserve">The elaboration of scientific profiles is based on Publication data. </w:t>
            </w:r>
            <w:r w:rsidRPr="006967CF">
              <w:rPr>
                <w:rFonts w:ascii="Cambria" w:eastAsiaTheme="majorEastAsia" w:hAnsi="Cambria" w:cstheme="minorHAnsi"/>
                <w:spacing w:val="-10"/>
                <w:kern w:val="28"/>
                <w:lang w:val="el-GR"/>
              </w:rPr>
              <w:t xml:space="preserve">The </w:t>
            </w:r>
            <w:r w:rsidRPr="006967CF">
              <w:rPr>
                <w:rFonts w:ascii="Cambria" w:eastAsiaTheme="majorEastAsia" w:hAnsi="Cambria" w:cstheme="minorHAnsi"/>
                <w:spacing w:val="-10"/>
                <w:kern w:val="28"/>
              </w:rPr>
              <w:t>data source for this application is Scopus.</w:t>
            </w:r>
          </w:p>
        </w:tc>
        <w:tc>
          <w:tcPr>
            <w:tcW w:w="4675" w:type="dxa"/>
            <w:vMerge/>
            <w:tcBorders>
              <w:top w:val="nil"/>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59" w:history="1">
              <w:r w:rsidRPr="00F644F2">
                <w:rPr>
                  <w:rStyle w:val="Hyperlink"/>
                  <w:rFonts w:eastAsiaTheme="majorEastAsia" w:cstheme="minorHAnsi"/>
                  <w:spacing w:val="-10"/>
                  <w:kern w:val="28"/>
                </w:rPr>
                <w:t>http://scientificprofile.s3platform.eu/</w:t>
              </w:r>
            </w:hyperlink>
            <w:r>
              <w:rPr>
                <w:rFonts w:eastAsiaTheme="majorEastAsia" w:cstheme="minorHAnsi"/>
                <w:spacing w:val="-10"/>
                <w:kern w:val="28"/>
              </w:rPr>
              <w:t xml:space="preserve"> </w:t>
            </w:r>
          </w:p>
          <w:p w:rsidR="00A0018C" w:rsidRPr="00F43B7E" w:rsidRDefault="00A0018C" w:rsidP="00A453B4">
            <w:pPr>
              <w:rPr>
                <w:rFonts w:cstheme="minorHAnsi"/>
              </w:rPr>
            </w:pPr>
            <w:r w:rsidRPr="00F43B7E">
              <w:rPr>
                <w:rFonts w:cstheme="minorHAnsi"/>
                <w:b/>
              </w:rPr>
              <w:lastRenderedPageBreak/>
              <w:t>Source code:</w:t>
            </w:r>
            <w:r w:rsidRPr="00F43B7E">
              <w:rPr>
                <w:rFonts w:cstheme="minorHAnsi"/>
              </w:rPr>
              <w:t xml:space="preserve"> </w:t>
            </w:r>
            <w:hyperlink r:id="rId60" w:history="1">
              <w:r w:rsidRPr="005B45FB">
                <w:rPr>
                  <w:rStyle w:val="Hyperlink"/>
                  <w:rFonts w:cstheme="minorHAnsi"/>
                  <w:szCs w:val="18"/>
                </w:rPr>
                <w:t>https://github.com/OnlineS3/2.5.-Regional-scientific-production-</w:t>
              </w:r>
            </w:hyperlink>
          </w:p>
        </w:tc>
      </w:tr>
    </w:tbl>
    <w:p w:rsidR="00A0018C" w:rsidRDefault="00A0018C" w:rsidP="00A0018C"/>
    <w:tbl>
      <w:tblPr>
        <w:tblStyle w:val="TableGrid"/>
        <w:tblW w:w="0" w:type="auto"/>
        <w:tblLook w:val="04A0" w:firstRow="1" w:lastRow="0" w:firstColumn="1" w:lastColumn="0" w:noHBand="0" w:noVBand="1"/>
      </w:tblPr>
      <w:tblGrid>
        <w:gridCol w:w="3965"/>
        <w:gridCol w:w="5051"/>
      </w:tblGrid>
      <w:tr w:rsidR="00A0018C" w:rsidRPr="00F43B7E" w:rsidTr="00A453B4">
        <w:tc>
          <w:tcPr>
            <w:tcW w:w="4248" w:type="dxa"/>
            <w:tcBorders>
              <w:bottom w:val="nil"/>
            </w:tcBorders>
            <w:shd w:val="clear" w:color="auto" w:fill="8CBA55"/>
          </w:tcPr>
          <w:p w:rsidR="00A0018C" w:rsidRPr="006967CF" w:rsidRDefault="00A0018C" w:rsidP="006967CF">
            <w:pPr>
              <w:rPr>
                <w:rFonts w:ascii="Cambria" w:hAnsi="Cambria" w:cstheme="minorHAnsi"/>
                <w:b/>
              </w:rPr>
            </w:pPr>
            <w:r w:rsidRPr="006967CF">
              <w:rPr>
                <w:rFonts w:ascii="Cambria" w:hAnsi="Cambria" w:cstheme="minorHAnsi"/>
                <w:b/>
              </w:rPr>
              <w:t>2.6. Specialisation indexes</w:t>
            </w:r>
          </w:p>
        </w:tc>
        <w:tc>
          <w:tcPr>
            <w:tcW w:w="5102" w:type="dxa"/>
            <w:vMerge w:val="restart"/>
            <w:tcBorders>
              <w:bottom w:val="nil"/>
            </w:tcBorders>
            <w:vAlign w:val="center"/>
          </w:tcPr>
          <w:p w:rsidR="00A0018C" w:rsidRPr="00F43B7E" w:rsidRDefault="00A0018C" w:rsidP="00A453B4">
            <w:pPr>
              <w:jc w:val="center"/>
              <w:rPr>
                <w:rFonts w:cstheme="minorHAnsi"/>
              </w:rPr>
            </w:pPr>
            <w:r>
              <w:rPr>
                <w:rFonts w:cstheme="minorHAnsi"/>
                <w:noProof/>
              </w:rPr>
              <w:drawing>
                <wp:inline distT="0" distB="0" distL="0" distR="0" wp14:anchorId="0AB39873" wp14:editId="26EC3CAF">
                  <wp:extent cx="2803224" cy="3204409"/>
                  <wp:effectExtent l="0" t="0" r="0" b="0"/>
                  <wp:docPr id="5" name="Εικόνα 3"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ptur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0802" cy="3235934"/>
                          </a:xfrm>
                          <a:prstGeom prst="rect">
                            <a:avLst/>
                          </a:prstGeom>
                          <a:noFill/>
                          <a:ln>
                            <a:noFill/>
                          </a:ln>
                        </pic:spPr>
                      </pic:pic>
                    </a:graphicData>
                  </a:graphic>
                </wp:inline>
              </w:drawing>
            </w:r>
          </w:p>
        </w:tc>
      </w:tr>
      <w:tr w:rsidR="00A0018C" w:rsidRPr="00F43B7E" w:rsidTr="00A453B4">
        <w:trPr>
          <w:trHeight w:val="4105"/>
        </w:trPr>
        <w:tc>
          <w:tcPr>
            <w:tcW w:w="4248" w:type="dxa"/>
            <w:vMerge w:val="restart"/>
            <w:tcBorders>
              <w:top w:val="nil"/>
            </w:tcBorders>
          </w:tcPr>
          <w:p w:rsidR="00A0018C" w:rsidRPr="006967CF" w:rsidRDefault="00A0018C" w:rsidP="006967CF">
            <w:pPr>
              <w:spacing w:before="120"/>
              <w:rPr>
                <w:rFonts w:ascii="Cambria" w:eastAsiaTheme="majorEastAsia" w:hAnsi="Cambria" w:cstheme="minorHAnsi"/>
                <w:spacing w:val="-10"/>
                <w:kern w:val="28"/>
              </w:rPr>
            </w:pPr>
            <w:r w:rsidRPr="006967CF">
              <w:rPr>
                <w:rFonts w:ascii="Cambria" w:eastAsiaTheme="majorEastAsia" w:hAnsi="Cambria" w:cstheme="minorHAnsi"/>
                <w:spacing w:val="-10"/>
                <w:kern w:val="28"/>
              </w:rPr>
              <w:t>The development of the application targets on capturing the scientific and technological specialisation of a country or region, namely, the measurement of publications and data regarding patenting. The method for analysing regional specialisation produces technological and economic specialisation indexes for understanding the position of the regional technological and economic activities into global value chains, and uses an interactive dashboard for visualisation.</w:t>
            </w:r>
          </w:p>
        </w:tc>
        <w:tc>
          <w:tcPr>
            <w:tcW w:w="5102"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248" w:type="dxa"/>
            <w:vMerge/>
          </w:tcPr>
          <w:p w:rsidR="00A0018C" w:rsidRPr="00F43B7E" w:rsidRDefault="00A0018C" w:rsidP="00A453B4">
            <w:pPr>
              <w:rPr>
                <w:rFonts w:cstheme="minorHAnsi"/>
              </w:rPr>
            </w:pPr>
          </w:p>
        </w:tc>
        <w:tc>
          <w:tcPr>
            <w:tcW w:w="5102"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62" w:history="1">
              <w:r w:rsidRPr="00F644F2">
                <w:rPr>
                  <w:rStyle w:val="Hyperlink"/>
                  <w:rFonts w:eastAsiaTheme="majorEastAsia" w:cstheme="minorHAnsi"/>
                  <w:spacing w:val="-10"/>
                  <w:kern w:val="28"/>
                </w:rPr>
                <w:t>http://specialisation.s3platform.eu/</w:t>
              </w:r>
            </w:hyperlink>
            <w:r>
              <w:rPr>
                <w:rFonts w:eastAsiaTheme="majorEastAsia" w:cstheme="minorHAnsi"/>
                <w:spacing w:val="-10"/>
                <w:kern w:val="28"/>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r w:rsidRPr="005A4BF6">
              <w:rPr>
                <w:rFonts w:cstheme="minorHAnsi"/>
                <w:color w:val="000000"/>
                <w:szCs w:val="18"/>
              </w:rPr>
              <w:t> </w:t>
            </w:r>
            <w:hyperlink r:id="rId63" w:history="1">
              <w:r w:rsidRPr="005A4BF6">
                <w:rPr>
                  <w:rStyle w:val="Hyperlink"/>
                  <w:rFonts w:cstheme="minorHAnsi"/>
                  <w:szCs w:val="18"/>
                </w:rPr>
                <w:t>https://github.com/OnlineS3/2.6.-Specialisation-indexes</w:t>
              </w:r>
            </w:hyperlink>
          </w:p>
        </w:tc>
      </w:tr>
    </w:tbl>
    <w:p w:rsidR="00A0018C" w:rsidRDefault="00A0018C" w:rsidP="00A0018C"/>
    <w:tbl>
      <w:tblPr>
        <w:tblStyle w:val="TableGrid"/>
        <w:tblW w:w="0" w:type="auto"/>
        <w:tblLook w:val="04A0" w:firstRow="1" w:lastRow="0" w:firstColumn="1" w:lastColumn="0" w:noHBand="0" w:noVBand="1"/>
      </w:tblPr>
      <w:tblGrid>
        <w:gridCol w:w="3910"/>
        <w:gridCol w:w="5106"/>
      </w:tblGrid>
      <w:tr w:rsidR="00A0018C" w:rsidRPr="00F43B7E" w:rsidTr="00A453B4">
        <w:tc>
          <w:tcPr>
            <w:tcW w:w="4531" w:type="dxa"/>
            <w:tcBorders>
              <w:bottom w:val="nil"/>
            </w:tcBorders>
            <w:shd w:val="clear" w:color="auto" w:fill="8CBA55"/>
          </w:tcPr>
          <w:p w:rsidR="00A0018C" w:rsidRPr="00A453B4" w:rsidRDefault="00A0018C" w:rsidP="00A453B4">
            <w:pPr>
              <w:rPr>
                <w:rFonts w:ascii="Cambria" w:hAnsi="Cambria" w:cstheme="minorHAnsi"/>
                <w:b/>
              </w:rPr>
            </w:pPr>
            <w:r w:rsidRPr="00A453B4">
              <w:rPr>
                <w:rFonts w:ascii="Cambria" w:hAnsi="Cambria" w:cstheme="minorHAnsi"/>
                <w:b/>
              </w:rPr>
              <w:t>2.7. SWOT Analysis</w:t>
            </w:r>
          </w:p>
        </w:tc>
        <w:tc>
          <w:tcPr>
            <w:tcW w:w="4819" w:type="dxa"/>
            <w:vMerge w:val="restart"/>
            <w:tcBorders>
              <w:bottom w:val="nil"/>
            </w:tcBorders>
            <w:vAlign w:val="center"/>
          </w:tcPr>
          <w:p w:rsidR="00A0018C" w:rsidRPr="00F43B7E" w:rsidRDefault="00A0018C" w:rsidP="00A453B4">
            <w:pPr>
              <w:jc w:val="center"/>
              <w:rPr>
                <w:rFonts w:cstheme="minorHAnsi"/>
              </w:rPr>
            </w:pPr>
            <w:r w:rsidRPr="001F3C43">
              <w:object w:dxaOrig="13215" w:dyaOrig="9735">
                <v:shape id="_x0000_i1031" type="#_x0000_t75" style="width:244.5pt;height:180.1pt" o:ole="">
                  <v:imagedata r:id="rId64" o:title=""/>
                </v:shape>
                <o:OLEObject Type="Embed" ProgID="PBrush" ShapeID="_x0000_i1031" DrawAspect="Content" ObjectID="_1591864459" r:id="rId65"/>
              </w:object>
            </w:r>
          </w:p>
        </w:tc>
      </w:tr>
      <w:tr w:rsidR="00A0018C" w:rsidRPr="00F43B7E" w:rsidTr="00A453B4">
        <w:trPr>
          <w:trHeight w:val="4105"/>
        </w:trPr>
        <w:tc>
          <w:tcPr>
            <w:tcW w:w="4531"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SWOT essentially enables the stakeholders to predict the prospects for each of a set of possible Smart Specialisation Strategies in order to determine how each could build on the regional strengths and advantages, as well as mobilising growth in leading areas of research and innovation. It helps regions develop S3 policies based on areas of strength and weakness as identified by SWOT analysis.</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SWOT Analysis application enables users to enter and update SWAT analysis data, store and retrieve the entered data, share a SWOT analysis with other users and allowing them to edit the existing SWOT analysis, meaning that the application serves as an online template for filling in, updating, sharing and publishing your SWOT analysis.</w:t>
            </w:r>
          </w:p>
        </w:tc>
        <w:tc>
          <w:tcPr>
            <w:tcW w:w="4819" w:type="dxa"/>
            <w:vMerge/>
            <w:tcBorders>
              <w:top w:val="nil"/>
              <w:bottom w:val="nil"/>
            </w:tcBorders>
          </w:tcPr>
          <w:p w:rsidR="00A0018C" w:rsidRPr="00F43B7E" w:rsidRDefault="00A0018C" w:rsidP="00A453B4">
            <w:pPr>
              <w:rPr>
                <w:rFonts w:cstheme="minorHAnsi"/>
              </w:rPr>
            </w:pPr>
          </w:p>
        </w:tc>
      </w:tr>
      <w:tr w:rsidR="00A0018C" w:rsidRPr="00F43B7E" w:rsidTr="00A453B4">
        <w:trPr>
          <w:trHeight w:val="564"/>
        </w:trPr>
        <w:tc>
          <w:tcPr>
            <w:tcW w:w="4531" w:type="dxa"/>
            <w:vMerge/>
          </w:tcPr>
          <w:p w:rsidR="00A0018C" w:rsidRPr="00F43B7E" w:rsidRDefault="00A0018C" w:rsidP="00A453B4">
            <w:pPr>
              <w:rPr>
                <w:rFonts w:cstheme="minorHAnsi"/>
              </w:rPr>
            </w:pPr>
          </w:p>
        </w:tc>
        <w:tc>
          <w:tcPr>
            <w:tcW w:w="4819"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66" w:history="1">
              <w:r w:rsidRPr="001F3C43">
                <w:rPr>
                  <w:rStyle w:val="Hyperlink"/>
                  <w:rFonts w:cstheme="minorHAnsi"/>
                </w:rPr>
                <w:t>http://li1088-54.members.linode.com:8082/swot/</w:t>
              </w:r>
            </w:hyperlink>
            <w:r>
              <w:t xml:space="preserve"> </w:t>
            </w:r>
            <w:r>
              <w:rPr>
                <w:rStyle w:val="Hyperlink"/>
                <w:rFonts w:eastAsiaTheme="majorEastAsia" w:cstheme="minorHAnsi"/>
                <w:spacing w:val="-10"/>
                <w:kern w:val="28"/>
              </w:rPr>
              <w:t xml:space="preserve"> </w:t>
            </w:r>
          </w:p>
          <w:p w:rsidR="00A0018C" w:rsidRPr="00F43B7E" w:rsidRDefault="00A0018C" w:rsidP="00A453B4">
            <w:pPr>
              <w:rPr>
                <w:rFonts w:cstheme="minorHAnsi"/>
              </w:rPr>
            </w:pPr>
            <w:r w:rsidRPr="00F43B7E">
              <w:rPr>
                <w:rFonts w:cstheme="minorHAnsi"/>
                <w:b/>
              </w:rPr>
              <w:t>Source code:</w:t>
            </w:r>
            <w:r w:rsidRPr="005A4BF6">
              <w:rPr>
                <w:rFonts w:cstheme="minorHAnsi"/>
                <w:sz w:val="28"/>
              </w:rPr>
              <w:t xml:space="preserve"> </w:t>
            </w:r>
            <w:hyperlink r:id="rId67" w:history="1">
              <w:r w:rsidRPr="005A4BF6">
                <w:rPr>
                  <w:rStyle w:val="Hyperlink"/>
                  <w:rFonts w:cstheme="minorHAnsi"/>
                  <w:szCs w:val="18"/>
                </w:rPr>
                <w:t>https://github.com/OnlineS3/2.7.-SWOT-analysis</w:t>
              </w:r>
            </w:hyperlink>
          </w:p>
        </w:tc>
      </w:tr>
    </w:tbl>
    <w:p w:rsidR="00A0018C" w:rsidRDefault="00A0018C" w:rsidP="00A0018C"/>
    <w:tbl>
      <w:tblPr>
        <w:tblStyle w:val="TableGrid"/>
        <w:tblW w:w="0" w:type="auto"/>
        <w:tblLook w:val="04A0" w:firstRow="1" w:lastRow="0" w:firstColumn="1" w:lastColumn="0" w:noHBand="0" w:noVBand="1"/>
      </w:tblPr>
      <w:tblGrid>
        <w:gridCol w:w="3268"/>
        <w:gridCol w:w="5748"/>
      </w:tblGrid>
      <w:tr w:rsidR="00A0018C" w:rsidRPr="00F43B7E" w:rsidTr="00372DA3">
        <w:tc>
          <w:tcPr>
            <w:tcW w:w="3268"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lastRenderedPageBreak/>
              <w:t>3.1. Collaborative vision building</w:t>
            </w:r>
          </w:p>
        </w:tc>
        <w:tc>
          <w:tcPr>
            <w:tcW w:w="5748" w:type="dxa"/>
            <w:vMerge w:val="restart"/>
            <w:tcBorders>
              <w:bottom w:val="nil"/>
            </w:tcBorders>
            <w:vAlign w:val="center"/>
          </w:tcPr>
          <w:p w:rsidR="00A0018C" w:rsidRPr="00F43B7E" w:rsidRDefault="00A0018C" w:rsidP="00A453B4">
            <w:pPr>
              <w:jc w:val="center"/>
              <w:rPr>
                <w:rFonts w:cstheme="minorHAnsi"/>
              </w:rPr>
            </w:pPr>
            <w:r w:rsidRPr="004B6F92">
              <w:object w:dxaOrig="11175" w:dyaOrig="8025">
                <v:shape id="_x0000_i1032" type="#_x0000_t75" style="width:276.6pt;height:197pt" o:ole="">
                  <v:imagedata r:id="rId68" o:title=""/>
                </v:shape>
                <o:OLEObject Type="Embed" ProgID="PBrush" ShapeID="_x0000_i1032" DrawAspect="Content" ObjectID="_1591864460" r:id="rId69"/>
              </w:object>
            </w:r>
          </w:p>
        </w:tc>
      </w:tr>
      <w:tr w:rsidR="00A0018C" w:rsidRPr="00F43B7E" w:rsidTr="00372DA3">
        <w:trPr>
          <w:trHeight w:val="4105"/>
        </w:trPr>
        <w:tc>
          <w:tcPr>
            <w:tcW w:w="3268"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Collaborative Vision Building is a process by which multiple people work together to define an ideal goal or end state for a project, this is called a Vision. When the Vision is clearly defined as a short concise statement, this is called a Vision Statement. The Collaborative Vision Building Tool has been designed in order to help you consult with others when creating a Vision.</w:t>
            </w:r>
          </w:p>
        </w:tc>
        <w:tc>
          <w:tcPr>
            <w:tcW w:w="5748" w:type="dxa"/>
            <w:vMerge/>
            <w:tcBorders>
              <w:bottom w:val="nil"/>
            </w:tcBorders>
          </w:tcPr>
          <w:p w:rsidR="00A0018C" w:rsidRPr="00F43B7E" w:rsidRDefault="00A0018C" w:rsidP="00A453B4">
            <w:pPr>
              <w:rPr>
                <w:rFonts w:cstheme="minorHAnsi"/>
              </w:rPr>
            </w:pPr>
          </w:p>
        </w:tc>
      </w:tr>
      <w:tr w:rsidR="00A0018C" w:rsidRPr="00F43B7E" w:rsidTr="00372DA3">
        <w:trPr>
          <w:trHeight w:val="564"/>
        </w:trPr>
        <w:tc>
          <w:tcPr>
            <w:tcW w:w="3268" w:type="dxa"/>
            <w:vMerge/>
          </w:tcPr>
          <w:p w:rsidR="00A0018C" w:rsidRPr="00F43B7E" w:rsidRDefault="00A0018C" w:rsidP="00A453B4">
            <w:pPr>
              <w:rPr>
                <w:rFonts w:cstheme="minorHAnsi"/>
              </w:rPr>
            </w:pPr>
          </w:p>
        </w:tc>
        <w:tc>
          <w:tcPr>
            <w:tcW w:w="5748"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70" w:history="1">
              <w:r w:rsidRPr="00943760">
                <w:rPr>
                  <w:rStyle w:val="Hyperlink"/>
                  <w:rFonts w:eastAsiaTheme="majorEastAsia" w:cstheme="minorHAnsi"/>
                  <w:spacing w:val="-10"/>
                  <w:kern w:val="28"/>
                </w:rPr>
                <w:t>http://li1088-54.members.linode.com:8082/cvbapp/</w:t>
              </w:r>
            </w:hyperlink>
            <w:r>
              <w:rPr>
                <w:rStyle w:val="Hyperlink"/>
                <w:rFonts w:eastAsiaTheme="majorEastAsia" w:cstheme="minorHAnsi"/>
                <w:spacing w:val="-10"/>
                <w:kern w:val="28"/>
              </w:rPr>
              <w:t xml:space="preserve"> </w:t>
            </w:r>
          </w:p>
          <w:p w:rsidR="00A0018C" w:rsidRPr="00F43B7E" w:rsidRDefault="00A0018C" w:rsidP="00A453B4">
            <w:pPr>
              <w:rPr>
                <w:rFonts w:cstheme="minorHAnsi"/>
              </w:rPr>
            </w:pPr>
            <w:r w:rsidRPr="00F43B7E">
              <w:rPr>
                <w:rFonts w:cstheme="minorHAnsi"/>
                <w:b/>
              </w:rPr>
              <w:t>Source code:</w:t>
            </w:r>
            <w:r w:rsidRPr="005A4BF6">
              <w:rPr>
                <w:rFonts w:cstheme="minorHAnsi"/>
                <w:sz w:val="28"/>
              </w:rPr>
              <w:t xml:space="preserve"> </w:t>
            </w:r>
            <w:hyperlink r:id="rId71" w:history="1">
              <w:r w:rsidRPr="005A4BF6">
                <w:rPr>
                  <w:rStyle w:val="Hyperlink"/>
                  <w:rFonts w:cstheme="minorHAnsi"/>
                  <w:szCs w:val="18"/>
                </w:rPr>
                <w:t>https://github.com/OnlineS3/3.1.-Collaborative-vision-building</w:t>
              </w:r>
            </w:hyperlink>
          </w:p>
        </w:tc>
      </w:tr>
    </w:tbl>
    <w:p w:rsidR="00A0018C" w:rsidRDefault="00A0018C" w:rsidP="00A0018C"/>
    <w:tbl>
      <w:tblPr>
        <w:tblStyle w:val="TableGrid"/>
        <w:tblW w:w="0" w:type="auto"/>
        <w:tblLook w:val="04A0" w:firstRow="1" w:lastRow="0" w:firstColumn="1" w:lastColumn="0" w:noHBand="0" w:noVBand="1"/>
      </w:tblPr>
      <w:tblGrid>
        <w:gridCol w:w="3258"/>
        <w:gridCol w:w="5758"/>
      </w:tblGrid>
      <w:tr w:rsidR="00A0018C" w:rsidRPr="00F43B7E" w:rsidTr="00A453B4">
        <w:tc>
          <w:tcPr>
            <w:tcW w:w="4675"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t>3.2. Scenario Building</w:t>
            </w:r>
          </w:p>
        </w:tc>
        <w:tc>
          <w:tcPr>
            <w:tcW w:w="4675" w:type="dxa"/>
            <w:vMerge w:val="restart"/>
            <w:tcBorders>
              <w:bottom w:val="nil"/>
            </w:tcBorders>
            <w:vAlign w:val="center"/>
          </w:tcPr>
          <w:p w:rsidR="00A0018C" w:rsidRPr="00F43B7E" w:rsidRDefault="00A0018C" w:rsidP="00A453B4">
            <w:pPr>
              <w:jc w:val="center"/>
              <w:rPr>
                <w:rFonts w:cstheme="minorHAnsi"/>
              </w:rPr>
            </w:pPr>
            <w:r>
              <w:object w:dxaOrig="17535" w:dyaOrig="13305">
                <v:shape id="_x0000_i1033" type="#_x0000_t75" style="width:277.05pt;height:210.2pt" o:ole="">
                  <v:imagedata r:id="rId72" o:title=""/>
                </v:shape>
                <o:OLEObject Type="Embed" ProgID="PBrush" ShapeID="_x0000_i1033" DrawAspect="Content" ObjectID="_1591864461" r:id="rId73"/>
              </w:object>
            </w:r>
          </w:p>
        </w:tc>
      </w:tr>
      <w:tr w:rsidR="00A0018C" w:rsidRPr="00F43B7E" w:rsidTr="00A453B4">
        <w:trPr>
          <w:trHeight w:val="5408"/>
        </w:trPr>
        <w:tc>
          <w:tcPr>
            <w:tcW w:w="4675"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 xml:space="preserve">Scenario building tool aims at guiding regions doing RIS3 processes to incorporate and make scenarios to help their overall RIS3 process. Scenarios are a way to assess possible future outcomes and reflect how to prepare for future scenarios. Thus, it’s a highly useful tool in Strategy formulation. </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tool includes the guide for making scenarios. The guide has been divided into 5 steps that all come with templates that help with the scenario building process. These steps are identifying future trends and uncertainties, assessing the importance of each trend and uncertainty, forming scenarios, describing scenarios in-depth and assessing the scenario implications and plan for preparatory actions. The guide and templates enable regions to go through the scenario building process and find resources to modify the process to their specific needs.</w:t>
            </w:r>
          </w:p>
        </w:tc>
        <w:tc>
          <w:tcPr>
            <w:tcW w:w="4675"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74" w:history="1">
              <w:r w:rsidRPr="00F644F2">
                <w:rPr>
                  <w:rStyle w:val="Hyperlink"/>
                  <w:rFonts w:cstheme="minorHAnsi"/>
                </w:rPr>
                <w:t>http://scenarios.s3platform.eu/</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75" w:history="1">
              <w:r w:rsidRPr="005A4BF6">
                <w:rPr>
                  <w:rStyle w:val="Hyperlink"/>
                  <w:rFonts w:cstheme="minorHAnsi"/>
                  <w:szCs w:val="18"/>
                </w:rPr>
                <w:t>https://github.com/OnlineS3/3.2.-Scenario-building</w:t>
              </w:r>
            </w:hyperlink>
          </w:p>
        </w:tc>
      </w:tr>
    </w:tbl>
    <w:p w:rsidR="00A0018C" w:rsidRDefault="00A0018C" w:rsidP="00A0018C"/>
    <w:p w:rsidR="009B207B" w:rsidRDefault="009B207B" w:rsidP="00A0018C"/>
    <w:tbl>
      <w:tblPr>
        <w:tblStyle w:val="TableGrid"/>
        <w:tblW w:w="0" w:type="auto"/>
        <w:tblLook w:val="04A0" w:firstRow="1" w:lastRow="0" w:firstColumn="1" w:lastColumn="0" w:noHBand="0" w:noVBand="1"/>
      </w:tblPr>
      <w:tblGrid>
        <w:gridCol w:w="3730"/>
        <w:gridCol w:w="5286"/>
      </w:tblGrid>
      <w:tr w:rsidR="00A0018C" w:rsidRPr="00F43B7E" w:rsidTr="00A453B4">
        <w:tc>
          <w:tcPr>
            <w:tcW w:w="4064"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lastRenderedPageBreak/>
              <w:t>3.3. Delphi - Foresight</w:t>
            </w:r>
          </w:p>
        </w:tc>
        <w:tc>
          <w:tcPr>
            <w:tcW w:w="5286" w:type="dxa"/>
            <w:vMerge w:val="restart"/>
            <w:tcBorders>
              <w:bottom w:val="nil"/>
            </w:tcBorders>
            <w:vAlign w:val="center"/>
          </w:tcPr>
          <w:p w:rsidR="00A0018C" w:rsidRPr="00F43B7E" w:rsidRDefault="00A0018C" w:rsidP="00A453B4">
            <w:pPr>
              <w:jc w:val="center"/>
              <w:rPr>
                <w:rFonts w:cstheme="minorHAnsi"/>
              </w:rPr>
            </w:pPr>
            <w:r w:rsidRPr="00943760">
              <w:rPr>
                <w:rFonts w:eastAsia="DengXian" w:cstheme="minorHAnsi"/>
                <w:noProof/>
              </w:rPr>
              <w:drawing>
                <wp:inline distT="0" distB="0" distL="0" distR="0" wp14:anchorId="4FE0D54C" wp14:editId="7F63A8A3">
                  <wp:extent cx="3215640" cy="2009775"/>
                  <wp:effectExtent l="0" t="0" r="3810" b="9525"/>
                  <wp:docPr id="2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15640" cy="2009775"/>
                          </a:xfrm>
                          <a:prstGeom prst="rect">
                            <a:avLst/>
                          </a:prstGeom>
                        </pic:spPr>
                      </pic:pic>
                    </a:graphicData>
                  </a:graphic>
                </wp:inline>
              </w:drawing>
            </w:r>
          </w:p>
        </w:tc>
      </w:tr>
      <w:tr w:rsidR="00A0018C" w:rsidRPr="00F43B7E" w:rsidTr="00A453B4">
        <w:trPr>
          <w:trHeight w:val="4827"/>
        </w:trPr>
        <w:tc>
          <w:tcPr>
            <w:tcW w:w="4064"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eDelphi application is based on the development work starting in 1998. The software is developed and maintained by Metodix Oy together with Delphi development community.</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In S3 platform there is an About page that describes the background and methodology behind Delphi in general, how it can be used in the context of RIS3 and how to implement a Delphi survey. The Guide page in turn provides step-by-step instructions how to use eDelphi application. The section Related documents includes three articles about Romanian and Polish experience of using Delphi method in their RIS3 development process. There is also a link to eDelphi application from Access application page.</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eDelphi application is available in Finnish and English. Using the main features of eDelphi is free of charge, however, additional features are available for a reasonable price.</w:t>
            </w:r>
          </w:p>
        </w:tc>
        <w:tc>
          <w:tcPr>
            <w:tcW w:w="5286"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064" w:type="dxa"/>
            <w:vMerge/>
          </w:tcPr>
          <w:p w:rsidR="00A0018C" w:rsidRPr="00F43B7E" w:rsidRDefault="00A0018C" w:rsidP="00A453B4">
            <w:pPr>
              <w:rPr>
                <w:rFonts w:cstheme="minorHAnsi"/>
              </w:rPr>
            </w:pPr>
          </w:p>
        </w:tc>
        <w:tc>
          <w:tcPr>
            <w:tcW w:w="5286"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77" w:history="1">
              <w:r w:rsidRPr="00F644F2">
                <w:rPr>
                  <w:rStyle w:val="Hyperlink"/>
                  <w:rFonts w:cstheme="minorHAnsi"/>
                </w:rPr>
                <w:t>http://foresight.s3platform.eu/</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r>
              <w:rPr>
                <w:rFonts w:cstheme="minorHAnsi"/>
              </w:rPr>
              <w:t>-</w:t>
            </w:r>
          </w:p>
        </w:tc>
      </w:tr>
    </w:tbl>
    <w:p w:rsidR="00A0018C" w:rsidRDefault="00A0018C" w:rsidP="00A0018C"/>
    <w:tbl>
      <w:tblPr>
        <w:tblStyle w:val="TableGrid"/>
        <w:tblW w:w="0" w:type="auto"/>
        <w:tblLook w:val="04A0" w:firstRow="1" w:lastRow="0" w:firstColumn="1" w:lastColumn="0" w:noHBand="0" w:noVBand="1"/>
      </w:tblPr>
      <w:tblGrid>
        <w:gridCol w:w="3639"/>
        <w:gridCol w:w="673"/>
        <w:gridCol w:w="4704"/>
      </w:tblGrid>
      <w:tr w:rsidR="00A0018C" w:rsidRPr="00F43B7E" w:rsidTr="00A453B4">
        <w:tc>
          <w:tcPr>
            <w:tcW w:w="4302" w:type="dxa"/>
            <w:gridSpan w:val="2"/>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t>4.1. EDP focus groups</w:t>
            </w:r>
          </w:p>
        </w:tc>
        <w:tc>
          <w:tcPr>
            <w:tcW w:w="4714" w:type="dxa"/>
            <w:vMerge w:val="restart"/>
            <w:tcBorders>
              <w:bottom w:val="nil"/>
            </w:tcBorders>
            <w:vAlign w:val="center"/>
          </w:tcPr>
          <w:p w:rsidR="00A0018C" w:rsidRPr="00F60BF6" w:rsidRDefault="00A0018C" w:rsidP="00A453B4">
            <w:pPr>
              <w:jc w:val="center"/>
              <w:rPr>
                <w:rFonts w:cstheme="minorHAnsi"/>
              </w:rPr>
            </w:pPr>
            <w:r w:rsidRPr="00943760">
              <w:rPr>
                <w:rFonts w:cstheme="minorHAnsi"/>
                <w:noProof/>
              </w:rPr>
              <w:drawing>
                <wp:inline distT="0" distB="0" distL="0" distR="0" wp14:anchorId="2D4961DD" wp14:editId="733C1D72">
                  <wp:extent cx="3117215" cy="2121508"/>
                  <wp:effectExtent l="0" t="0" r="6985" b="0"/>
                  <wp:docPr id="220" name="Εικόνα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68849" cy="2156649"/>
                          </a:xfrm>
                          <a:prstGeom prst="rect">
                            <a:avLst/>
                          </a:prstGeom>
                          <a:noFill/>
                          <a:ln>
                            <a:noFill/>
                          </a:ln>
                        </pic:spPr>
                      </pic:pic>
                    </a:graphicData>
                  </a:graphic>
                </wp:inline>
              </w:drawing>
            </w:r>
          </w:p>
        </w:tc>
      </w:tr>
      <w:tr w:rsidR="00A0018C" w:rsidRPr="00F43B7E" w:rsidTr="00A453B4">
        <w:trPr>
          <w:trHeight w:val="4105"/>
        </w:trPr>
        <w:tc>
          <w:tcPr>
            <w:tcW w:w="4302" w:type="dxa"/>
            <w:gridSpan w:val="2"/>
            <w:vMerge w:val="restart"/>
            <w:tcBorders>
              <w:top w:val="nil"/>
            </w:tcBorders>
          </w:tcPr>
          <w:p w:rsidR="00A0018C" w:rsidRPr="00A453B4" w:rsidRDefault="00A0018C" w:rsidP="00A453B4">
            <w:pPr>
              <w:spacing w:before="240" w:after="120"/>
              <w:rPr>
                <w:rFonts w:ascii="Cambria" w:eastAsiaTheme="majorEastAsia" w:hAnsi="Cambria" w:cstheme="minorHAnsi"/>
                <w:spacing w:val="-10"/>
                <w:kern w:val="28"/>
              </w:rPr>
            </w:pPr>
            <w:r w:rsidRPr="00A453B4">
              <w:rPr>
                <w:rFonts w:ascii="Cambria" w:eastAsiaTheme="majorEastAsia" w:hAnsi="Cambria" w:cstheme="minorHAnsi"/>
                <w:spacing w:val="-10"/>
                <w:kern w:val="28"/>
              </w:rPr>
              <w:t>The development of the tool targets on creating a content management system for the regional EDP Focus Groups processes, based on the implementation roadmap designed by the JRC for the case of Eastern Macedonia and Thrace (</w:t>
            </w:r>
            <w:hyperlink r:id="rId79" w:history="1">
              <w:r w:rsidRPr="00A453B4">
                <w:rPr>
                  <w:rStyle w:val="Hyperlink"/>
                  <w:rFonts w:ascii="Cambria" w:eastAsiaTheme="majorEastAsia" w:hAnsi="Cambria" w:cstheme="minorHAnsi"/>
                  <w:spacing w:val="-10"/>
                  <w:kern w:val="28"/>
                </w:rPr>
                <w:t>http://s3platform.jrc.ec.europa.eu/entrepreneurial-discovery-process-focus-groups</w:t>
              </w:r>
            </w:hyperlink>
            <w:r w:rsidRPr="00A453B4">
              <w:rPr>
                <w:rFonts w:ascii="Cambria" w:eastAsiaTheme="majorEastAsia" w:hAnsi="Cambria" w:cstheme="minorHAnsi"/>
                <w:spacing w:val="-10"/>
                <w:kern w:val="28"/>
              </w:rPr>
              <w:t xml:space="preserve">). </w:t>
            </w:r>
          </w:p>
          <w:p w:rsidR="00A0018C" w:rsidRPr="00A453B4" w:rsidRDefault="00A0018C" w:rsidP="00A453B4">
            <w:pPr>
              <w:spacing w:before="240" w:after="120"/>
              <w:rPr>
                <w:rFonts w:ascii="Cambria" w:eastAsiaTheme="majorEastAsia" w:hAnsi="Cambria" w:cstheme="minorHAnsi"/>
                <w:spacing w:val="-10"/>
                <w:kern w:val="28"/>
              </w:rPr>
            </w:pPr>
            <w:r w:rsidRPr="00A453B4">
              <w:rPr>
                <w:rFonts w:ascii="Cambria" w:eastAsiaTheme="majorEastAsia" w:hAnsi="Cambria" w:cstheme="minorHAnsi"/>
                <w:spacing w:val="-10"/>
                <w:kern w:val="28"/>
              </w:rPr>
              <w:t>The main idea behind this application is to give the opportunity to the users to organize and implement the EDP Focus Groups through a content management system, that enables them to easily create event pages and disseminate them. Moreover, the application works also as a repository of EDP reports that could be useful to other regions with similar sectors of interest.</w:t>
            </w:r>
          </w:p>
          <w:p w:rsidR="00A0018C" w:rsidRPr="00A453B4" w:rsidRDefault="00A0018C" w:rsidP="00A453B4">
            <w:pPr>
              <w:spacing w:before="120"/>
              <w:rPr>
                <w:rFonts w:ascii="Cambria" w:eastAsiaTheme="majorEastAsia" w:hAnsi="Cambria" w:cstheme="minorHAnsi"/>
                <w:spacing w:val="-10"/>
                <w:kern w:val="28"/>
              </w:rPr>
            </w:pPr>
          </w:p>
        </w:tc>
        <w:tc>
          <w:tcPr>
            <w:tcW w:w="4714"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302" w:type="dxa"/>
            <w:gridSpan w:val="2"/>
            <w:vMerge/>
          </w:tcPr>
          <w:p w:rsidR="00A0018C" w:rsidRPr="00F43B7E" w:rsidRDefault="00A0018C" w:rsidP="00A453B4">
            <w:pPr>
              <w:rPr>
                <w:rFonts w:cstheme="minorHAnsi"/>
              </w:rPr>
            </w:pPr>
          </w:p>
        </w:tc>
        <w:tc>
          <w:tcPr>
            <w:tcW w:w="4714"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80" w:history="1">
              <w:r w:rsidRPr="00F10709">
                <w:rPr>
                  <w:rStyle w:val="Hyperlink"/>
                  <w:rFonts w:eastAsiaTheme="majorEastAsia" w:cstheme="minorHAnsi"/>
                  <w:spacing w:val="-10"/>
                  <w:kern w:val="28"/>
                </w:rPr>
                <w:t>http://edp.s3platform.eu/</w:t>
              </w:r>
            </w:hyperlink>
            <w:r>
              <w:rPr>
                <w:rStyle w:val="Hyperlink"/>
                <w:rFonts w:eastAsiaTheme="majorEastAsia" w:cstheme="minorHAnsi"/>
                <w:spacing w:val="-10"/>
                <w:kern w:val="28"/>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81" w:history="1">
              <w:r w:rsidRPr="005A4BF6">
                <w:rPr>
                  <w:rStyle w:val="Hyperlink"/>
                  <w:rFonts w:cstheme="minorHAnsi"/>
                  <w:szCs w:val="18"/>
                </w:rPr>
                <w:t>https://github.com/OnlineS3/4.1.-EDP-focus-groups</w:t>
              </w:r>
            </w:hyperlink>
          </w:p>
        </w:tc>
      </w:tr>
      <w:tr w:rsidR="00A0018C" w:rsidRPr="00F43B7E" w:rsidTr="00A453B4">
        <w:tc>
          <w:tcPr>
            <w:tcW w:w="3414"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t>4.2. Extroversion analysis</w:t>
            </w:r>
          </w:p>
        </w:tc>
        <w:tc>
          <w:tcPr>
            <w:tcW w:w="5602" w:type="dxa"/>
            <w:gridSpan w:val="2"/>
            <w:vMerge w:val="restart"/>
            <w:tcBorders>
              <w:bottom w:val="nil"/>
            </w:tcBorders>
            <w:vAlign w:val="center"/>
          </w:tcPr>
          <w:p w:rsidR="00A0018C" w:rsidRPr="00F43B7E" w:rsidRDefault="00A0018C" w:rsidP="00A453B4">
            <w:pPr>
              <w:jc w:val="center"/>
              <w:rPr>
                <w:rFonts w:cstheme="minorHAnsi"/>
              </w:rPr>
            </w:pPr>
            <w:r>
              <w:object w:dxaOrig="13845" w:dyaOrig="10665">
                <v:shape id="_x0000_i1034" type="#_x0000_t75" style="width:269.3pt;height:206.35pt" o:ole="">
                  <v:imagedata r:id="rId82" o:title=""/>
                </v:shape>
                <o:OLEObject Type="Embed" ProgID="PBrush" ShapeID="_x0000_i1034" DrawAspect="Content" ObjectID="_1591864462" r:id="rId83"/>
              </w:object>
            </w:r>
          </w:p>
        </w:tc>
      </w:tr>
      <w:tr w:rsidR="00A0018C" w:rsidRPr="00F43B7E" w:rsidTr="00A453B4">
        <w:trPr>
          <w:trHeight w:val="4672"/>
        </w:trPr>
        <w:tc>
          <w:tcPr>
            <w:tcW w:w="3414"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lastRenderedPageBreak/>
              <w:t xml:space="preserve">The development of the application targets on providing the user with information on how to use already developed tools with regards to the regional extroversion analysis. </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Extroversion analysis helps to determine the areas of present competitive advantage and regional excellence potential. It is an important methodology for priority identification because it contributes to the definition of concrete and achievable objectives. A well designed smart specialisation strategy/ Extroversion Analysis will contribute to the selection of the few priorities that build on the specific strengths and opportunities of the region’s economy. This targeted selection will enable the development and advancement of economies of scale and scope, as well as local knowledge spill overs with regards to the selected sectors.</w:t>
            </w:r>
          </w:p>
        </w:tc>
        <w:tc>
          <w:tcPr>
            <w:tcW w:w="5602" w:type="dxa"/>
            <w:gridSpan w:val="2"/>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3414" w:type="dxa"/>
            <w:vMerge/>
          </w:tcPr>
          <w:p w:rsidR="00A0018C" w:rsidRPr="00F43B7E" w:rsidRDefault="00A0018C" w:rsidP="00A453B4">
            <w:pPr>
              <w:rPr>
                <w:rFonts w:cstheme="minorHAnsi"/>
              </w:rPr>
            </w:pPr>
          </w:p>
        </w:tc>
        <w:tc>
          <w:tcPr>
            <w:tcW w:w="5602" w:type="dxa"/>
            <w:gridSpan w:val="2"/>
            <w:tcBorders>
              <w:top w:val="nil"/>
            </w:tcBorders>
          </w:tcPr>
          <w:p w:rsidR="00A0018C" w:rsidRPr="009508BE" w:rsidRDefault="00A0018C" w:rsidP="00A453B4">
            <w:pPr>
              <w:rPr>
                <w:rFonts w:cstheme="minorHAnsi"/>
              </w:rPr>
            </w:pPr>
            <w:r w:rsidRPr="00F43B7E">
              <w:rPr>
                <w:rFonts w:cstheme="minorHAnsi"/>
                <w:b/>
              </w:rPr>
              <w:t>Link:</w:t>
            </w:r>
            <w:r w:rsidRPr="00F43B7E">
              <w:rPr>
                <w:rFonts w:cstheme="minorHAnsi"/>
              </w:rPr>
              <w:t xml:space="preserve"> </w:t>
            </w:r>
            <w:hyperlink r:id="rId84" w:history="1">
              <w:r w:rsidRPr="00F644F2">
                <w:rPr>
                  <w:rStyle w:val="Hyperlink"/>
                  <w:rFonts w:eastAsiaTheme="majorEastAsia" w:cstheme="minorHAnsi"/>
                  <w:spacing w:val="-10"/>
                  <w:kern w:val="28"/>
                </w:rPr>
                <w:t>http://extroversion.s3platform.eu/</w:t>
              </w:r>
            </w:hyperlink>
            <w:r w:rsidRPr="009508BE">
              <w:rPr>
                <w:rFonts w:eastAsiaTheme="majorEastAsia" w:cstheme="minorHAnsi"/>
                <w:spacing w:val="-10"/>
                <w:kern w:val="28"/>
              </w:rPr>
              <w:t xml:space="preserve"> </w:t>
            </w:r>
          </w:p>
          <w:p w:rsidR="00A0018C" w:rsidRPr="00F43B7E" w:rsidRDefault="00A0018C" w:rsidP="00A453B4">
            <w:pPr>
              <w:rPr>
                <w:rFonts w:cstheme="minorHAnsi"/>
              </w:rPr>
            </w:pPr>
            <w:r w:rsidRPr="00F43B7E">
              <w:rPr>
                <w:rFonts w:cstheme="minorHAnsi"/>
                <w:b/>
              </w:rPr>
              <w:t>Source code:</w:t>
            </w:r>
            <w:r w:rsidRPr="005A4BF6">
              <w:rPr>
                <w:rFonts w:cstheme="minorHAnsi"/>
                <w:szCs w:val="20"/>
              </w:rPr>
              <w:t xml:space="preserve"> </w:t>
            </w:r>
            <w:hyperlink r:id="rId85" w:history="1">
              <w:r w:rsidRPr="005A4BF6">
                <w:rPr>
                  <w:rStyle w:val="Hyperlink"/>
                  <w:rFonts w:cstheme="minorHAnsi"/>
                  <w:szCs w:val="20"/>
                </w:rPr>
                <w:t>https://github.com/OnlineS3/4.2.-Extroversion-analysis</w:t>
              </w:r>
            </w:hyperlink>
          </w:p>
        </w:tc>
      </w:tr>
    </w:tbl>
    <w:p w:rsidR="00A0018C" w:rsidRDefault="00A0018C" w:rsidP="00A0018C"/>
    <w:tbl>
      <w:tblPr>
        <w:tblStyle w:val="TableGrid"/>
        <w:tblW w:w="0" w:type="auto"/>
        <w:tblLook w:val="04A0" w:firstRow="1" w:lastRow="0" w:firstColumn="1" w:lastColumn="0" w:noHBand="0" w:noVBand="1"/>
      </w:tblPr>
      <w:tblGrid>
        <w:gridCol w:w="3479"/>
        <w:gridCol w:w="5537"/>
      </w:tblGrid>
      <w:tr w:rsidR="00A0018C" w:rsidRPr="00F43B7E" w:rsidTr="00A453B4">
        <w:tc>
          <w:tcPr>
            <w:tcW w:w="3681"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t>4.3. Related variety analysis</w:t>
            </w:r>
          </w:p>
        </w:tc>
        <w:tc>
          <w:tcPr>
            <w:tcW w:w="5669" w:type="dxa"/>
            <w:vMerge w:val="restart"/>
            <w:tcBorders>
              <w:bottom w:val="nil"/>
            </w:tcBorders>
            <w:vAlign w:val="center"/>
          </w:tcPr>
          <w:p w:rsidR="00A0018C" w:rsidRPr="00F43B7E" w:rsidRDefault="00A0018C" w:rsidP="00A453B4">
            <w:pPr>
              <w:jc w:val="center"/>
              <w:rPr>
                <w:rFonts w:cstheme="minorHAnsi"/>
              </w:rPr>
            </w:pPr>
            <w:r w:rsidRPr="00943760">
              <w:rPr>
                <w:rFonts w:cstheme="minorHAnsi"/>
                <w:noProof/>
              </w:rPr>
              <w:drawing>
                <wp:inline distT="0" distB="0" distL="0" distR="0" wp14:anchorId="64428729" wp14:editId="67482DB2">
                  <wp:extent cx="2561360" cy="3274695"/>
                  <wp:effectExtent l="0" t="0" r="0" b="1905"/>
                  <wp:docPr id="6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ep6.png"/>
                          <pic:cNvPicPr/>
                        </pic:nvPicPr>
                        <pic:blipFill rotWithShape="1">
                          <a:blip r:embed="rId86" cstate="print">
                            <a:extLst>
                              <a:ext uri="{28A0092B-C50C-407E-A947-70E740481C1C}">
                                <a14:useLocalDpi xmlns:a14="http://schemas.microsoft.com/office/drawing/2010/main" val="0"/>
                              </a:ext>
                            </a:extLst>
                          </a:blip>
                          <a:srcRect l="6653" t="1995" r="25740"/>
                          <a:stretch/>
                        </pic:blipFill>
                        <pic:spPr bwMode="auto">
                          <a:xfrm>
                            <a:off x="0" y="0"/>
                            <a:ext cx="2577459" cy="3295278"/>
                          </a:xfrm>
                          <a:prstGeom prst="rect">
                            <a:avLst/>
                          </a:prstGeom>
                          <a:ln>
                            <a:noFill/>
                          </a:ln>
                          <a:extLst>
                            <a:ext uri="{53640926-AAD7-44D8-BBD7-CCE9431645EC}">
                              <a14:shadowObscured xmlns:a14="http://schemas.microsoft.com/office/drawing/2010/main"/>
                            </a:ext>
                          </a:extLst>
                        </pic:spPr>
                      </pic:pic>
                    </a:graphicData>
                  </a:graphic>
                </wp:inline>
              </w:drawing>
            </w:r>
          </w:p>
        </w:tc>
      </w:tr>
      <w:tr w:rsidR="00A0018C" w:rsidRPr="00F43B7E" w:rsidTr="00A453B4">
        <w:trPr>
          <w:trHeight w:val="4105"/>
        </w:trPr>
        <w:tc>
          <w:tcPr>
            <w:tcW w:w="3681"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development of the Related Variety Analysis application targets on extracting sectors with technological proximity and high correlation with the already present ones.</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Related variety is a key concept in evolutionary economic geography that links knowledge spillovers to economic development, new growth paths and economic renewal. It refers to the variety of industries within a region that are cognitively related and maximise the potential for learning opportunities and growth of existing industries as well as the local sources of growth for new industries. Combined with other methodologies, related variety facilitates decision making through the selection of investment priorities for future specialisation.</w:t>
            </w:r>
          </w:p>
        </w:tc>
        <w:tc>
          <w:tcPr>
            <w:tcW w:w="5669"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3681" w:type="dxa"/>
            <w:vMerge/>
          </w:tcPr>
          <w:p w:rsidR="00A0018C" w:rsidRPr="00F43B7E" w:rsidRDefault="00A0018C" w:rsidP="00A453B4">
            <w:pPr>
              <w:rPr>
                <w:rFonts w:cstheme="minorHAnsi"/>
              </w:rPr>
            </w:pPr>
          </w:p>
        </w:tc>
        <w:tc>
          <w:tcPr>
            <w:tcW w:w="5669"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87" w:history="1">
              <w:r w:rsidRPr="00F644F2">
                <w:rPr>
                  <w:rStyle w:val="Hyperlink"/>
                  <w:rFonts w:eastAsiaTheme="majorEastAsia" w:cstheme="minorHAnsi"/>
                  <w:spacing w:val="-10"/>
                  <w:kern w:val="28"/>
                </w:rPr>
                <w:t>http://relatedvariety.s3platform.eu/</w:t>
              </w:r>
            </w:hyperlink>
            <w:r>
              <w:rPr>
                <w:rFonts w:eastAsiaTheme="majorEastAsia" w:cstheme="minorHAnsi"/>
                <w:spacing w:val="-10"/>
                <w:kern w:val="28"/>
              </w:rPr>
              <w:t xml:space="preserve"> </w:t>
            </w:r>
          </w:p>
          <w:p w:rsidR="00A0018C" w:rsidRPr="00F43B7E" w:rsidRDefault="00A0018C" w:rsidP="00A453B4">
            <w:pPr>
              <w:rPr>
                <w:rFonts w:cstheme="minorHAnsi"/>
              </w:rPr>
            </w:pPr>
            <w:r w:rsidRPr="00F43B7E">
              <w:rPr>
                <w:rFonts w:cstheme="minorHAnsi"/>
                <w:b/>
              </w:rPr>
              <w:t>Source code:</w:t>
            </w:r>
            <w:r w:rsidRPr="005A4BF6">
              <w:rPr>
                <w:rFonts w:cstheme="minorHAnsi"/>
                <w:sz w:val="28"/>
              </w:rPr>
              <w:t xml:space="preserve"> </w:t>
            </w:r>
            <w:hyperlink r:id="rId88" w:history="1">
              <w:r w:rsidRPr="005A4BF6">
                <w:rPr>
                  <w:rStyle w:val="Hyperlink"/>
                  <w:rFonts w:cstheme="minorHAnsi"/>
                  <w:szCs w:val="18"/>
                </w:rPr>
                <w:t>https://github.com/OnlineS3/4.3.-Related-variety-analysis</w:t>
              </w:r>
            </w:hyperlink>
          </w:p>
        </w:tc>
      </w:tr>
    </w:tbl>
    <w:p w:rsidR="00A0018C" w:rsidRDefault="00A0018C" w:rsidP="00A0018C"/>
    <w:p w:rsidR="009B207B" w:rsidRDefault="009B207B" w:rsidP="00A0018C"/>
    <w:p w:rsidR="003A6E99" w:rsidRDefault="003A6E99" w:rsidP="00A0018C"/>
    <w:tbl>
      <w:tblPr>
        <w:tblStyle w:val="TableGrid"/>
        <w:tblW w:w="0" w:type="auto"/>
        <w:tblLook w:val="04A0" w:firstRow="1" w:lastRow="0" w:firstColumn="1" w:lastColumn="0" w:noHBand="0" w:noVBand="1"/>
      </w:tblPr>
      <w:tblGrid>
        <w:gridCol w:w="3295"/>
        <w:gridCol w:w="5721"/>
      </w:tblGrid>
      <w:tr w:rsidR="00A0018C" w:rsidRPr="00F43B7E" w:rsidTr="00A453B4">
        <w:tc>
          <w:tcPr>
            <w:tcW w:w="4675"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lastRenderedPageBreak/>
              <w:t>5.1. Intervention logic</w:t>
            </w:r>
          </w:p>
        </w:tc>
        <w:tc>
          <w:tcPr>
            <w:tcW w:w="4675" w:type="dxa"/>
            <w:vMerge w:val="restart"/>
            <w:tcBorders>
              <w:bottom w:val="nil"/>
            </w:tcBorders>
            <w:vAlign w:val="center"/>
          </w:tcPr>
          <w:p w:rsidR="00A0018C" w:rsidRPr="00F43B7E" w:rsidRDefault="00A0018C" w:rsidP="00A453B4">
            <w:pPr>
              <w:jc w:val="center"/>
              <w:rPr>
                <w:rFonts w:cstheme="minorHAnsi"/>
              </w:rPr>
            </w:pPr>
            <w:r w:rsidRPr="00943760">
              <w:rPr>
                <w:rFonts w:cstheme="minorHAnsi"/>
                <w:noProof/>
              </w:rPr>
              <w:drawing>
                <wp:inline distT="0" distB="0" distL="0" distR="0" wp14:anchorId="570E04E4" wp14:editId="4FDE8900">
                  <wp:extent cx="3495675" cy="2524110"/>
                  <wp:effectExtent l="0" t="0" r="0" b="0"/>
                  <wp:docPr id="232" name="Εικόνα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21210"/>
                          <a:stretch/>
                        </pic:blipFill>
                        <pic:spPr bwMode="auto">
                          <a:xfrm>
                            <a:off x="0" y="0"/>
                            <a:ext cx="3500001" cy="2527233"/>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0018C" w:rsidRPr="00F43B7E" w:rsidTr="00A453B4">
        <w:trPr>
          <w:trHeight w:val="4105"/>
        </w:trPr>
        <w:tc>
          <w:tcPr>
            <w:tcW w:w="4675"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 xml:space="preserve">The development of the Intervention logic application targets on providing a web-based form for creating schematic representations of the rationale behind the development of a RIS3 policy. </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More specifically, it is based on the work of Gianelle and Kleibrink (2015), who have made the first effort to conceptualize the RIS3 logic of intervention, by identifying the key building blocks and setting out their causal logical linkages. The intervention logic tool has been developed based on this conceptualization. A set of questions at the end of the page try to help the user to better understand the logical links between the different parts of the intervention logic of the proposed policies.</w:t>
            </w:r>
          </w:p>
        </w:tc>
        <w:tc>
          <w:tcPr>
            <w:tcW w:w="4675"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90" w:history="1">
              <w:r w:rsidRPr="00F644F2">
                <w:rPr>
                  <w:rStyle w:val="Hyperlink"/>
                  <w:rFonts w:eastAsiaTheme="majorEastAsia" w:cstheme="minorHAnsi"/>
                  <w:spacing w:val="-10"/>
                  <w:kern w:val="28"/>
                </w:rPr>
                <w:t>http://interventionlogic.s3platform.eu/</w:t>
              </w:r>
            </w:hyperlink>
            <w:r>
              <w:rPr>
                <w:rFonts w:eastAsiaTheme="majorEastAsia" w:cstheme="minorHAnsi"/>
                <w:spacing w:val="-10"/>
                <w:kern w:val="28"/>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91" w:history="1">
              <w:r w:rsidRPr="005A4BF6">
                <w:rPr>
                  <w:rStyle w:val="Hyperlink"/>
                  <w:rFonts w:cstheme="minorHAnsi"/>
                  <w:szCs w:val="18"/>
                </w:rPr>
                <w:t>https://github.com/OnlineS3/5.1.-RIS3-intervention-logic</w:t>
              </w:r>
            </w:hyperlink>
          </w:p>
        </w:tc>
      </w:tr>
    </w:tbl>
    <w:p w:rsidR="00A0018C" w:rsidRDefault="00A0018C" w:rsidP="00A0018C"/>
    <w:tbl>
      <w:tblPr>
        <w:tblStyle w:val="TableGrid"/>
        <w:tblW w:w="0" w:type="auto"/>
        <w:tblLook w:val="04A0" w:firstRow="1" w:lastRow="0" w:firstColumn="1" w:lastColumn="0" w:noHBand="0" w:noVBand="1"/>
      </w:tblPr>
      <w:tblGrid>
        <w:gridCol w:w="3447"/>
        <w:gridCol w:w="5569"/>
      </w:tblGrid>
      <w:tr w:rsidR="00A0018C" w:rsidRPr="00F43B7E" w:rsidTr="00A453B4">
        <w:tc>
          <w:tcPr>
            <w:tcW w:w="3681"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t>5.2. Action plan co-design</w:t>
            </w:r>
          </w:p>
        </w:tc>
        <w:tc>
          <w:tcPr>
            <w:tcW w:w="5669" w:type="dxa"/>
            <w:vMerge w:val="restart"/>
            <w:tcBorders>
              <w:bottom w:val="nil"/>
            </w:tcBorders>
            <w:vAlign w:val="center"/>
          </w:tcPr>
          <w:p w:rsidR="00A0018C" w:rsidRPr="00F43B7E" w:rsidRDefault="00A0018C" w:rsidP="00A453B4">
            <w:pPr>
              <w:jc w:val="center"/>
              <w:rPr>
                <w:rFonts w:cstheme="minorHAnsi"/>
              </w:rPr>
            </w:pPr>
            <w:r w:rsidRPr="00943760">
              <w:rPr>
                <w:rFonts w:cstheme="minorHAnsi"/>
                <w:noProof/>
              </w:rPr>
              <w:drawing>
                <wp:inline distT="0" distB="0" distL="0" distR="0" wp14:anchorId="273AAD9A" wp14:editId="1122B64E">
                  <wp:extent cx="2892425" cy="3745483"/>
                  <wp:effectExtent l="0" t="0" r="3175" b="7620"/>
                  <wp:docPr id="242" name="Εικόνα 242" descr="Εικόνα που περιέχει εσωτερικό, τοίχος, υπολογιστής, φορητός υπολογιστής&#10;&#10;Η περιγραφή δημιουργήθηκε με υψηλή αξιοπιστ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IS3 Actionplan Codesign' - actionplan_s3platform_eu_find-a-relevant-action.png"/>
                          <pic:cNvPicPr/>
                        </pic:nvPicPr>
                        <pic:blipFill rotWithShape="1">
                          <a:blip r:embed="rId92" cstate="print">
                            <a:extLst>
                              <a:ext uri="{28A0092B-C50C-407E-A947-70E740481C1C}">
                                <a14:useLocalDpi xmlns:a14="http://schemas.microsoft.com/office/drawing/2010/main" val="0"/>
                              </a:ext>
                            </a:extLst>
                          </a:blip>
                          <a:srcRect t="-1" b="53180"/>
                          <a:stretch/>
                        </pic:blipFill>
                        <pic:spPr bwMode="auto">
                          <a:xfrm>
                            <a:off x="0" y="0"/>
                            <a:ext cx="2895751" cy="3749790"/>
                          </a:xfrm>
                          <a:prstGeom prst="rect">
                            <a:avLst/>
                          </a:prstGeom>
                          <a:ln>
                            <a:noFill/>
                          </a:ln>
                          <a:extLst>
                            <a:ext uri="{53640926-AAD7-44D8-BBD7-CCE9431645EC}">
                              <a14:shadowObscured xmlns:a14="http://schemas.microsoft.com/office/drawing/2010/main"/>
                            </a:ext>
                          </a:extLst>
                        </pic:spPr>
                      </pic:pic>
                    </a:graphicData>
                  </a:graphic>
                </wp:inline>
              </w:drawing>
            </w:r>
          </w:p>
        </w:tc>
      </w:tr>
      <w:tr w:rsidR="00A0018C" w:rsidRPr="00F43B7E" w:rsidTr="00A453B4">
        <w:trPr>
          <w:trHeight w:val="4105"/>
        </w:trPr>
        <w:tc>
          <w:tcPr>
            <w:tcW w:w="3681"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 xml:space="preserve">The development of the RIS3 Action Plan Co-design is an application that permits regional authorities publish their RIS3 Action Plan in order to receive feedback and ideas from the public. </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overall objective of this application is to provide a framework that facilitates citizens’ involvement in the design of the RIS3 Action Plan, so that it is better adjusted to their needs and priorities. The co-design of the RIS3 Action Plan can significantly contribute to maximize the successful implementation of the overall RIS3 strategy.</w:t>
            </w:r>
          </w:p>
        </w:tc>
        <w:tc>
          <w:tcPr>
            <w:tcW w:w="5669"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3681" w:type="dxa"/>
            <w:vMerge/>
          </w:tcPr>
          <w:p w:rsidR="00A0018C" w:rsidRPr="00F43B7E" w:rsidRDefault="00A0018C" w:rsidP="00A453B4">
            <w:pPr>
              <w:rPr>
                <w:rFonts w:cstheme="minorHAnsi"/>
              </w:rPr>
            </w:pPr>
          </w:p>
        </w:tc>
        <w:tc>
          <w:tcPr>
            <w:tcW w:w="5669"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93" w:history="1">
              <w:r w:rsidRPr="00943760">
                <w:rPr>
                  <w:rStyle w:val="Hyperlink"/>
                  <w:rFonts w:cstheme="minorHAnsi"/>
                </w:rPr>
                <w:t>http://actionplan.s3platform.eu/</w:t>
              </w:r>
            </w:hyperlink>
            <w:r>
              <w:rPr>
                <w:rStyle w:val="Hyperlink"/>
                <w:rFonts w:cstheme="minorHAnsi"/>
              </w:rPr>
              <w:t xml:space="preserve"> </w:t>
            </w:r>
          </w:p>
          <w:p w:rsidR="00A0018C" w:rsidRPr="00F43B7E" w:rsidRDefault="00A0018C" w:rsidP="00A453B4">
            <w:pPr>
              <w:rPr>
                <w:rFonts w:cstheme="minorHAnsi"/>
              </w:rPr>
            </w:pPr>
            <w:r w:rsidRPr="00F43B7E">
              <w:rPr>
                <w:rFonts w:cstheme="minorHAnsi"/>
                <w:b/>
              </w:rPr>
              <w:t>Source code:</w:t>
            </w:r>
            <w:r w:rsidRPr="005A4BF6">
              <w:rPr>
                <w:rFonts w:cstheme="minorHAnsi"/>
                <w:sz w:val="28"/>
              </w:rPr>
              <w:t xml:space="preserve"> </w:t>
            </w:r>
            <w:hyperlink r:id="rId94" w:history="1">
              <w:r w:rsidRPr="005A4BF6">
                <w:rPr>
                  <w:rStyle w:val="Hyperlink"/>
                  <w:rFonts w:cstheme="minorHAnsi"/>
                  <w:szCs w:val="18"/>
                </w:rPr>
                <w:t>https://github.com/OnlineS3/5.2.-RIS3-action-plan-co-design</w:t>
              </w:r>
            </w:hyperlink>
          </w:p>
        </w:tc>
      </w:tr>
    </w:tbl>
    <w:p w:rsidR="00A0018C" w:rsidRDefault="00A0018C" w:rsidP="00A0018C"/>
    <w:tbl>
      <w:tblPr>
        <w:tblStyle w:val="TableGrid"/>
        <w:tblW w:w="0" w:type="auto"/>
        <w:tblLook w:val="04A0" w:firstRow="1" w:lastRow="0" w:firstColumn="1" w:lastColumn="0" w:noHBand="0" w:noVBand="1"/>
      </w:tblPr>
      <w:tblGrid>
        <w:gridCol w:w="3877"/>
        <w:gridCol w:w="5139"/>
      </w:tblGrid>
      <w:tr w:rsidR="00A0018C" w:rsidRPr="00F43B7E" w:rsidTr="00A453B4">
        <w:tc>
          <w:tcPr>
            <w:tcW w:w="4675"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lastRenderedPageBreak/>
              <w:t>5.3. Budgeting</w:t>
            </w:r>
          </w:p>
        </w:tc>
        <w:tc>
          <w:tcPr>
            <w:tcW w:w="4675" w:type="dxa"/>
            <w:vMerge w:val="restart"/>
            <w:tcBorders>
              <w:bottom w:val="nil"/>
            </w:tcBorders>
            <w:vAlign w:val="center"/>
          </w:tcPr>
          <w:p w:rsidR="00A0018C" w:rsidRPr="00F43B7E" w:rsidRDefault="00A0018C" w:rsidP="00A453B4">
            <w:pPr>
              <w:jc w:val="center"/>
              <w:rPr>
                <w:rFonts w:cstheme="minorHAnsi"/>
              </w:rPr>
            </w:pPr>
            <w:r>
              <w:object w:dxaOrig="13305" w:dyaOrig="12465">
                <v:shape id="_x0000_i1035" type="#_x0000_t75" style="width:246.15pt;height:229.35pt" o:ole="">
                  <v:imagedata r:id="rId95" o:title=""/>
                </v:shape>
                <o:OLEObject Type="Embed" ProgID="PBrush" ShapeID="_x0000_i1035" DrawAspect="Content" ObjectID="_1591864463" r:id="rId96"/>
              </w:object>
            </w:r>
          </w:p>
        </w:tc>
      </w:tr>
      <w:tr w:rsidR="00A0018C" w:rsidRPr="00F43B7E" w:rsidTr="00A453B4">
        <w:trPr>
          <w:trHeight w:val="4955"/>
        </w:trPr>
        <w:tc>
          <w:tcPr>
            <w:tcW w:w="4675"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RIS3 budgeting tool gives the user the possibility to insert and manage budgeting data in a structured way through a web-based dashboard. Filling data into a series of standardised nested tables, the application provides users with an overview of the RIS3 financial plan as well as with customized tables and charts.</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logical steps of the application, based on its methodological description are:</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Step 1: Selection of the years for the elaboration of the RIS3 Budgeting. Definition of the priorities under which specific measures are grouped. Insertion of data into the standardised nested budget tables in the measure level.</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Step 2: Generation of the RIS3 budgeting overview. Selection of grouping variables and application of filters to the data. Export budgeting tables and charts in table or image format.</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Step 3: Benchmark your region’s budget with other regions’.</w:t>
            </w:r>
          </w:p>
        </w:tc>
        <w:tc>
          <w:tcPr>
            <w:tcW w:w="4675"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97" w:history="1">
              <w:r w:rsidRPr="00F644F2">
                <w:rPr>
                  <w:rStyle w:val="Hyperlink"/>
                  <w:rFonts w:cstheme="minorHAnsi"/>
                </w:rPr>
                <w:t>http://budgeting.s3platform.eu/</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98" w:history="1">
              <w:r w:rsidRPr="005A4BF6">
                <w:rPr>
                  <w:rStyle w:val="Hyperlink"/>
                  <w:rFonts w:cstheme="minorHAnsi"/>
                  <w:szCs w:val="18"/>
                </w:rPr>
                <w:t>https://github.com/OnlineS3/5.3.-RIS3-budgeting</w:t>
              </w:r>
            </w:hyperlink>
          </w:p>
        </w:tc>
      </w:tr>
    </w:tbl>
    <w:p w:rsidR="00A0018C" w:rsidRDefault="00A0018C" w:rsidP="00A0018C"/>
    <w:tbl>
      <w:tblPr>
        <w:tblStyle w:val="TableGrid"/>
        <w:tblW w:w="0" w:type="auto"/>
        <w:tblLook w:val="04A0" w:firstRow="1" w:lastRow="0" w:firstColumn="1" w:lastColumn="0" w:noHBand="0" w:noVBand="1"/>
      </w:tblPr>
      <w:tblGrid>
        <w:gridCol w:w="3910"/>
        <w:gridCol w:w="5106"/>
      </w:tblGrid>
      <w:tr w:rsidR="00A0018C" w:rsidRPr="00F43B7E" w:rsidTr="00A453B4">
        <w:tc>
          <w:tcPr>
            <w:tcW w:w="4675"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t>5.4. State aid law compliance for RIS3 implementation</w:t>
            </w:r>
          </w:p>
        </w:tc>
        <w:tc>
          <w:tcPr>
            <w:tcW w:w="4675" w:type="dxa"/>
            <w:vMerge w:val="restart"/>
            <w:tcBorders>
              <w:bottom w:val="nil"/>
            </w:tcBorders>
            <w:vAlign w:val="center"/>
          </w:tcPr>
          <w:p w:rsidR="00A0018C" w:rsidRPr="00F43B7E" w:rsidRDefault="00A0018C" w:rsidP="00A453B4">
            <w:pPr>
              <w:jc w:val="center"/>
              <w:rPr>
                <w:rFonts w:cstheme="minorHAnsi"/>
              </w:rPr>
            </w:pPr>
            <w:r w:rsidRPr="00943760">
              <w:rPr>
                <w:rFonts w:cstheme="minorHAnsi"/>
                <w:noProof/>
              </w:rPr>
              <w:drawing>
                <wp:inline distT="0" distB="0" distL="0" distR="0" wp14:anchorId="7BB87B24" wp14:editId="6F5905BE">
                  <wp:extent cx="3104749" cy="3114675"/>
                  <wp:effectExtent l="0" t="0" r="635" b="0"/>
                  <wp:docPr id="265" name="Εικόνα 265" descr="C:\Users\Margarita\Desktop\Image 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ita\Desktop\Image 2a.jpg"/>
                          <pic:cNvPicPr>
                            <a:picLocks noChangeAspect="1" noChangeArrowheads="1"/>
                          </pic:cNvPicPr>
                        </pic:nvPicPr>
                        <pic:blipFill rotWithShape="1">
                          <a:blip r:embed="rId99">
                            <a:extLst>
                              <a:ext uri="{28A0092B-C50C-407E-A947-70E740481C1C}">
                                <a14:useLocalDpi xmlns:a14="http://schemas.microsoft.com/office/drawing/2010/main" val="0"/>
                              </a:ext>
                            </a:extLst>
                          </a:blip>
                          <a:srcRect b="30563"/>
                          <a:stretch/>
                        </pic:blipFill>
                        <pic:spPr bwMode="auto">
                          <a:xfrm>
                            <a:off x="0" y="0"/>
                            <a:ext cx="3110463" cy="31204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018C" w:rsidRPr="00F43B7E" w:rsidTr="00A453B4">
        <w:trPr>
          <w:trHeight w:val="4105"/>
        </w:trPr>
        <w:tc>
          <w:tcPr>
            <w:tcW w:w="4675"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 xml:space="preserve">State aid rules play a critical role for sustainable RIS3 implementation. The objective of the “State aid law compliance for RIS3 implementation” tool is to provide management authorities and RIS3 partners with a better understanding of State aid regulations and definitions that affect innovation and that are relevant for RIS3 implementation (e.g. support to SMEs, clusters and research infrastructures). </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tool helps users and policy makers understand the main characteristics of State aid Law for Research, Development and Innovation in their area of action. Using it, they can identify if the policy instruments included in the RIS3 policy mix/action plan are eligible for State aid. The tool also provides links to frequently asked questions, and educational and literature resources related to state aid across EU member states.</w:t>
            </w:r>
          </w:p>
        </w:tc>
        <w:tc>
          <w:tcPr>
            <w:tcW w:w="4675"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100" w:history="1">
              <w:r w:rsidRPr="00F644F2">
                <w:rPr>
                  <w:rStyle w:val="Hyperlink"/>
                  <w:rFonts w:cstheme="minorHAnsi"/>
                </w:rPr>
                <w:t>http://stateaid.s3platform.eu/</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101" w:history="1">
              <w:r w:rsidRPr="005A4BF6">
                <w:rPr>
                  <w:rStyle w:val="Hyperlink"/>
                  <w:rFonts w:cstheme="minorHAnsi"/>
                  <w:szCs w:val="18"/>
                </w:rPr>
                <w:t>https://github.com/OnlineS3/5.4.-RIS3-administrative-framework-conditions</w:t>
              </w:r>
            </w:hyperlink>
          </w:p>
        </w:tc>
      </w:tr>
    </w:tbl>
    <w:p w:rsidR="00A0018C" w:rsidRDefault="00A0018C" w:rsidP="00A0018C"/>
    <w:tbl>
      <w:tblPr>
        <w:tblStyle w:val="TableGrid"/>
        <w:tblW w:w="0" w:type="auto"/>
        <w:tblLook w:val="04A0" w:firstRow="1" w:lastRow="0" w:firstColumn="1" w:lastColumn="0" w:noHBand="0" w:noVBand="1"/>
      </w:tblPr>
      <w:tblGrid>
        <w:gridCol w:w="3874"/>
        <w:gridCol w:w="5142"/>
      </w:tblGrid>
      <w:tr w:rsidR="00A0018C" w:rsidRPr="00F43B7E" w:rsidTr="00A453B4">
        <w:tc>
          <w:tcPr>
            <w:tcW w:w="4675"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lastRenderedPageBreak/>
              <w:t>5.5. Calls Consultation</w:t>
            </w:r>
          </w:p>
        </w:tc>
        <w:tc>
          <w:tcPr>
            <w:tcW w:w="4675" w:type="dxa"/>
            <w:vMerge w:val="restart"/>
            <w:tcBorders>
              <w:bottom w:val="nil"/>
            </w:tcBorders>
            <w:vAlign w:val="center"/>
          </w:tcPr>
          <w:p w:rsidR="00A0018C" w:rsidRPr="00F43B7E" w:rsidRDefault="00A0018C" w:rsidP="00A453B4">
            <w:pPr>
              <w:jc w:val="center"/>
              <w:rPr>
                <w:rFonts w:cstheme="minorHAnsi"/>
              </w:rPr>
            </w:pPr>
            <w:r>
              <w:object w:dxaOrig="8115" w:dyaOrig="7275">
                <v:shape id="_x0000_i1036" type="#_x0000_t75" style="width:246.3pt;height:221.5pt" o:ole="">
                  <v:imagedata r:id="rId102" o:title=""/>
                </v:shape>
                <o:OLEObject Type="Embed" ProgID="PBrush" ShapeID="_x0000_i1036" DrawAspect="Content" ObjectID="_1591864464" r:id="rId103"/>
              </w:object>
            </w:r>
          </w:p>
        </w:tc>
      </w:tr>
      <w:tr w:rsidR="00A0018C" w:rsidRPr="00F43B7E" w:rsidTr="00A453B4">
        <w:trPr>
          <w:trHeight w:val="4105"/>
        </w:trPr>
        <w:tc>
          <w:tcPr>
            <w:tcW w:w="4675" w:type="dxa"/>
            <w:vMerge w:val="restart"/>
            <w:tcBorders>
              <w:top w:val="nil"/>
            </w:tcBorders>
          </w:tcPr>
          <w:p w:rsidR="00A0018C" w:rsidRPr="00A453B4" w:rsidRDefault="00A0018C" w:rsidP="00A453B4">
            <w:pPr>
              <w:spacing w:before="120" w:after="120"/>
              <w:rPr>
                <w:rFonts w:ascii="Cambria" w:eastAsiaTheme="majorEastAsia" w:hAnsi="Cambria" w:cstheme="minorHAnsi"/>
                <w:spacing w:val="-10"/>
                <w:kern w:val="28"/>
              </w:rPr>
            </w:pPr>
            <w:r w:rsidRPr="00A453B4">
              <w:rPr>
                <w:rFonts w:ascii="Cambria" w:eastAsiaTheme="majorEastAsia" w:hAnsi="Cambria" w:cstheme="minorHAnsi"/>
                <w:spacing w:val="-10"/>
                <w:kern w:val="28"/>
              </w:rPr>
              <w:t>This application is intended to help you assess calls for projects under SF operational programmes made by regional authorities. The RIS3 Calls Consultation application facilitates an open consultation process so that you as stakeholders can provide input on funding priorities and project selection criteria. The application acts as a standard online collaboration tool for collecting and assessing RIS3 project proposals.</w:t>
            </w:r>
          </w:p>
          <w:p w:rsidR="00A0018C" w:rsidRPr="00A453B4" w:rsidRDefault="00A0018C" w:rsidP="00A453B4">
            <w:pPr>
              <w:spacing w:before="120" w:after="120"/>
              <w:rPr>
                <w:rFonts w:ascii="Cambria" w:eastAsiaTheme="majorEastAsia" w:hAnsi="Cambria" w:cstheme="minorHAnsi"/>
                <w:spacing w:val="-10"/>
                <w:kern w:val="28"/>
              </w:rPr>
            </w:pPr>
            <w:r w:rsidRPr="00A453B4">
              <w:rPr>
                <w:rFonts w:ascii="Cambria" w:eastAsiaTheme="majorEastAsia" w:hAnsi="Cambria" w:cstheme="minorHAnsi"/>
                <w:spacing w:val="-10"/>
                <w:kern w:val="28"/>
              </w:rPr>
              <w:t xml:space="preserve">The following four steps are suggested for the consultation process: </w:t>
            </w:r>
          </w:p>
          <w:p w:rsidR="00A0018C" w:rsidRPr="00A453B4" w:rsidRDefault="00A0018C" w:rsidP="00A453B4">
            <w:pPr>
              <w:spacing w:before="120" w:after="120"/>
              <w:rPr>
                <w:rFonts w:ascii="Cambria" w:eastAsiaTheme="majorEastAsia" w:hAnsi="Cambria" w:cstheme="minorHAnsi"/>
                <w:spacing w:val="-10"/>
                <w:kern w:val="28"/>
              </w:rPr>
            </w:pPr>
            <w:r w:rsidRPr="00A453B4">
              <w:rPr>
                <w:rFonts w:ascii="Cambria" w:eastAsiaTheme="majorEastAsia" w:hAnsi="Cambria" w:cstheme="minorHAnsi"/>
                <w:spacing w:val="-10"/>
                <w:kern w:val="28"/>
              </w:rPr>
              <w:t>Step 1: Select the stakeholders to be invited.</w:t>
            </w:r>
          </w:p>
          <w:p w:rsidR="00A0018C" w:rsidRPr="00A453B4" w:rsidRDefault="00A0018C" w:rsidP="00A453B4">
            <w:pPr>
              <w:spacing w:before="120" w:after="120"/>
              <w:rPr>
                <w:rFonts w:ascii="Cambria" w:eastAsiaTheme="majorEastAsia" w:hAnsi="Cambria" w:cstheme="minorHAnsi"/>
                <w:spacing w:val="-10"/>
                <w:kern w:val="28"/>
              </w:rPr>
            </w:pPr>
            <w:r w:rsidRPr="00A453B4">
              <w:rPr>
                <w:rFonts w:ascii="Cambria" w:eastAsiaTheme="majorEastAsia" w:hAnsi="Cambria" w:cstheme="minorHAnsi"/>
                <w:spacing w:val="-10"/>
                <w:kern w:val="28"/>
              </w:rPr>
              <w:t>Step 2: Select the consultation form (or "mode").</w:t>
            </w:r>
          </w:p>
          <w:p w:rsidR="00A0018C" w:rsidRPr="00A453B4" w:rsidRDefault="00A0018C" w:rsidP="00A453B4">
            <w:pPr>
              <w:spacing w:before="120" w:after="120"/>
              <w:rPr>
                <w:rFonts w:ascii="Cambria" w:eastAsiaTheme="majorEastAsia" w:hAnsi="Cambria" w:cstheme="minorHAnsi"/>
                <w:spacing w:val="-10"/>
                <w:kern w:val="28"/>
              </w:rPr>
            </w:pPr>
            <w:r w:rsidRPr="00A453B4">
              <w:rPr>
                <w:rFonts w:ascii="Cambria" w:eastAsiaTheme="majorEastAsia" w:hAnsi="Cambria" w:cstheme="minorHAnsi"/>
                <w:spacing w:val="-10"/>
                <w:kern w:val="28"/>
              </w:rPr>
              <w:t>Step 3: Define call assessment criteria under the RIS3 framework.</w:t>
            </w:r>
          </w:p>
          <w:p w:rsidR="00A0018C" w:rsidRPr="00A453B4" w:rsidRDefault="00A0018C" w:rsidP="00A453B4">
            <w:pPr>
              <w:spacing w:before="120" w:after="120"/>
              <w:rPr>
                <w:rFonts w:ascii="Cambria" w:eastAsiaTheme="majorEastAsia" w:hAnsi="Cambria" w:cstheme="minorHAnsi"/>
                <w:spacing w:val="-10"/>
                <w:kern w:val="28"/>
              </w:rPr>
            </w:pPr>
            <w:r w:rsidRPr="00A453B4">
              <w:rPr>
                <w:rFonts w:ascii="Cambria" w:eastAsiaTheme="majorEastAsia" w:hAnsi="Cambria" w:cstheme="minorHAnsi"/>
                <w:spacing w:val="-10"/>
                <w:kern w:val="28"/>
              </w:rPr>
              <w:t>Step 4: Analyse stakeholder' views and provide feedback to the Call authority.</w:t>
            </w:r>
          </w:p>
        </w:tc>
        <w:tc>
          <w:tcPr>
            <w:tcW w:w="4675"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104" w:history="1">
              <w:r w:rsidRPr="00F644F2">
                <w:rPr>
                  <w:rStyle w:val="Hyperlink"/>
                  <w:rFonts w:cstheme="minorHAnsi"/>
                </w:rPr>
                <w:t>http://li1088-54.members.linode.com:3001/about</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105" w:history="1">
              <w:r w:rsidRPr="005A4BF6">
                <w:rPr>
                  <w:rStyle w:val="Hyperlink"/>
                  <w:rFonts w:cstheme="minorHAnsi"/>
                  <w:szCs w:val="18"/>
                </w:rPr>
                <w:t>https://github.com/OnlineS3/5.5.-RIS3-calls-consultation</w:t>
              </w:r>
            </w:hyperlink>
          </w:p>
        </w:tc>
      </w:tr>
    </w:tbl>
    <w:p w:rsidR="00A0018C" w:rsidRDefault="00A0018C" w:rsidP="00A0018C"/>
    <w:tbl>
      <w:tblPr>
        <w:tblStyle w:val="TableGrid"/>
        <w:tblW w:w="0" w:type="auto"/>
        <w:tblLook w:val="04A0" w:firstRow="1" w:lastRow="0" w:firstColumn="1" w:lastColumn="0" w:noHBand="0" w:noVBand="1"/>
      </w:tblPr>
      <w:tblGrid>
        <w:gridCol w:w="3644"/>
        <w:gridCol w:w="5372"/>
      </w:tblGrid>
      <w:tr w:rsidR="00A0018C" w:rsidRPr="00F43B7E" w:rsidTr="00A453B4">
        <w:tc>
          <w:tcPr>
            <w:tcW w:w="4675"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t>5.6. Innovation maps</w:t>
            </w:r>
          </w:p>
        </w:tc>
        <w:tc>
          <w:tcPr>
            <w:tcW w:w="4675" w:type="dxa"/>
            <w:vMerge w:val="restart"/>
            <w:tcBorders>
              <w:bottom w:val="nil"/>
            </w:tcBorders>
            <w:vAlign w:val="center"/>
          </w:tcPr>
          <w:p w:rsidR="00A0018C" w:rsidRPr="00F43B7E" w:rsidRDefault="00A0018C" w:rsidP="00A453B4">
            <w:pPr>
              <w:jc w:val="center"/>
              <w:rPr>
                <w:rFonts w:cstheme="minorHAnsi"/>
              </w:rPr>
            </w:pPr>
            <w:r>
              <w:object w:dxaOrig="13785" w:dyaOrig="11535">
                <v:shape id="_x0000_i1037" type="#_x0000_t75" style="width:257.8pt;height:216.3pt" o:ole="">
                  <v:imagedata r:id="rId106" o:title=""/>
                </v:shape>
                <o:OLEObject Type="Embed" ProgID="PBrush" ShapeID="_x0000_i1037" DrawAspect="Content" ObjectID="_1591864465" r:id="rId107"/>
              </w:object>
            </w:r>
          </w:p>
        </w:tc>
      </w:tr>
      <w:tr w:rsidR="00A0018C" w:rsidRPr="00F43B7E" w:rsidTr="00A453B4">
        <w:trPr>
          <w:trHeight w:val="4105"/>
        </w:trPr>
        <w:tc>
          <w:tcPr>
            <w:tcW w:w="4675"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Innovation Mapping is a method that enables acquiring a better understanding of the process of innovation, assisting in the development of new tools to measure innovation-related phenomena and to articulate innovation plans. Innovation Maps can help uncover critical bottom-up information embedded in firms’ R&amp;D and innovation applications for public support. In the context of the smart specialisation process and entrepreneurial discovery, Innovation Maps have been used to help tease out information about technological trends by the private sector.</w:t>
            </w:r>
          </w:p>
        </w:tc>
        <w:tc>
          <w:tcPr>
            <w:tcW w:w="4675"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108" w:history="1">
              <w:r w:rsidRPr="00F644F2">
                <w:rPr>
                  <w:rStyle w:val="Hyperlink"/>
                  <w:rFonts w:cstheme="minorHAnsi"/>
                </w:rPr>
                <w:t>http://li1088-54.members.linode.com:8082/im/</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109" w:history="1">
              <w:r w:rsidRPr="005A4BF6">
                <w:rPr>
                  <w:rStyle w:val="Hyperlink"/>
                  <w:rFonts w:cstheme="minorHAnsi"/>
                  <w:szCs w:val="18"/>
                </w:rPr>
                <w:t>https://github.com/OnlineS3/5.6.-RIS3-innovation-maps</w:t>
              </w:r>
            </w:hyperlink>
          </w:p>
        </w:tc>
      </w:tr>
    </w:tbl>
    <w:p w:rsidR="00A0018C" w:rsidRDefault="00A0018C" w:rsidP="00A0018C"/>
    <w:p w:rsidR="00A0018C" w:rsidRDefault="00A0018C" w:rsidP="00A0018C"/>
    <w:p w:rsidR="00A0018C" w:rsidRDefault="00A0018C" w:rsidP="00A0018C"/>
    <w:p w:rsidR="00A0018C" w:rsidRDefault="00A0018C" w:rsidP="00A0018C"/>
    <w:tbl>
      <w:tblPr>
        <w:tblStyle w:val="TableGrid"/>
        <w:tblW w:w="0" w:type="auto"/>
        <w:tblLook w:val="04A0" w:firstRow="1" w:lastRow="0" w:firstColumn="1" w:lastColumn="0" w:noHBand="0" w:noVBand="1"/>
      </w:tblPr>
      <w:tblGrid>
        <w:gridCol w:w="3072"/>
        <w:gridCol w:w="5944"/>
      </w:tblGrid>
      <w:tr w:rsidR="00A0018C" w:rsidRPr="00F43B7E" w:rsidTr="00A453B4">
        <w:tc>
          <w:tcPr>
            <w:tcW w:w="4675"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lastRenderedPageBreak/>
              <w:t>5.7. Open Data Tool</w:t>
            </w:r>
          </w:p>
        </w:tc>
        <w:tc>
          <w:tcPr>
            <w:tcW w:w="4675" w:type="dxa"/>
            <w:vMerge w:val="restart"/>
            <w:tcBorders>
              <w:bottom w:val="nil"/>
            </w:tcBorders>
            <w:vAlign w:val="center"/>
          </w:tcPr>
          <w:p w:rsidR="00A0018C" w:rsidRPr="00F43B7E" w:rsidRDefault="00A0018C" w:rsidP="00A453B4">
            <w:pPr>
              <w:jc w:val="center"/>
              <w:rPr>
                <w:rFonts w:cstheme="minorHAnsi"/>
              </w:rPr>
            </w:pPr>
            <w:r>
              <w:object w:dxaOrig="13935" w:dyaOrig="12585">
                <v:shape id="_x0000_i1038" type="#_x0000_t75" style="width:286.35pt;height:258pt" o:ole="">
                  <v:imagedata r:id="rId110" o:title=""/>
                </v:shape>
                <o:OLEObject Type="Embed" ProgID="PBrush" ShapeID="_x0000_i1038" DrawAspect="Content" ObjectID="_1591864466" r:id="rId111"/>
              </w:object>
            </w:r>
          </w:p>
        </w:tc>
      </w:tr>
      <w:tr w:rsidR="00A0018C" w:rsidRPr="00F43B7E" w:rsidTr="00A453B4">
        <w:trPr>
          <w:trHeight w:val="4955"/>
        </w:trPr>
        <w:tc>
          <w:tcPr>
            <w:tcW w:w="4675" w:type="dxa"/>
            <w:vMerge w:val="restart"/>
            <w:tcBorders>
              <w:top w:val="nil"/>
            </w:tcBorders>
          </w:tcPr>
          <w:p w:rsidR="00A0018C" w:rsidRPr="00A453B4" w:rsidRDefault="00A0018C" w:rsidP="00A453B4">
            <w:pPr>
              <w:spacing w:before="120"/>
              <w:jc w:val="both"/>
              <w:rPr>
                <w:rFonts w:ascii="Cambria" w:eastAsiaTheme="majorEastAsia" w:hAnsi="Cambria" w:cstheme="minorHAnsi"/>
                <w:spacing w:val="-10"/>
                <w:kern w:val="28"/>
              </w:rPr>
            </w:pPr>
            <w:r w:rsidRPr="00A453B4">
              <w:rPr>
                <w:rFonts w:ascii="Cambria" w:eastAsiaTheme="majorEastAsia" w:hAnsi="Cambria" w:cstheme="minorHAnsi"/>
                <w:spacing w:val="-10"/>
                <w:kern w:val="28"/>
              </w:rPr>
              <w:t>Currently, open data tools are not widely used in non-publicly funded projects. However, the effective use of this tool, facilitates the tracking of project themes and topics in each region which maybe cross-referenced with S3 priorities. The data made available by the tool can be highly valuable in tracking progress towards defined objectives and vision, and to inform the RIS3 update process.</w:t>
            </w:r>
          </w:p>
          <w:p w:rsidR="00A0018C" w:rsidRPr="00A453B4" w:rsidRDefault="00A0018C" w:rsidP="00A453B4">
            <w:pPr>
              <w:spacing w:before="120"/>
              <w:jc w:val="both"/>
              <w:rPr>
                <w:rFonts w:ascii="Cambria" w:eastAsiaTheme="majorEastAsia" w:hAnsi="Cambria" w:cstheme="minorHAnsi"/>
                <w:spacing w:val="-10"/>
                <w:kern w:val="28"/>
              </w:rPr>
            </w:pPr>
            <w:r w:rsidRPr="00A453B4">
              <w:rPr>
                <w:rFonts w:ascii="Cambria" w:eastAsiaTheme="majorEastAsia" w:hAnsi="Cambria" w:cstheme="minorHAnsi"/>
                <w:spacing w:val="-10"/>
                <w:kern w:val="28"/>
              </w:rPr>
              <w:t>The RIS3 Open Data Tool is a form of data repository that allows for a finely grained tracking of projects and initiatives implemented in each region with links to respective S3 priorities. Data is mined using an automated collection system which mirrors the CORDIS database along with additional information extracted from project and coordinator websites.</w:t>
            </w:r>
          </w:p>
        </w:tc>
        <w:tc>
          <w:tcPr>
            <w:tcW w:w="4675"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112" w:history="1">
              <w:r w:rsidRPr="00F644F2">
                <w:rPr>
                  <w:rStyle w:val="Hyperlink"/>
                  <w:rFonts w:cstheme="minorHAnsi"/>
                </w:rPr>
                <w:t>http://li1088-54.members.linode.com:8082/opendata/</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113" w:history="1">
              <w:r w:rsidRPr="005E42B6">
                <w:rPr>
                  <w:rStyle w:val="Hyperlink"/>
                  <w:rFonts w:cstheme="minorHAnsi"/>
                  <w:szCs w:val="18"/>
                </w:rPr>
                <w:t>https://github.com/OnlineS3/5.7.-RIS3-open-data-tool</w:t>
              </w:r>
            </w:hyperlink>
          </w:p>
        </w:tc>
      </w:tr>
    </w:tbl>
    <w:p w:rsidR="00A0018C" w:rsidRDefault="00A0018C" w:rsidP="00A0018C"/>
    <w:tbl>
      <w:tblPr>
        <w:tblStyle w:val="TableGrid"/>
        <w:tblW w:w="0" w:type="auto"/>
        <w:tblLook w:val="04A0" w:firstRow="1" w:lastRow="0" w:firstColumn="1" w:lastColumn="0" w:noHBand="0" w:noVBand="1"/>
      </w:tblPr>
      <w:tblGrid>
        <w:gridCol w:w="3282"/>
        <w:gridCol w:w="27"/>
        <w:gridCol w:w="5707"/>
      </w:tblGrid>
      <w:tr w:rsidR="00A0018C" w:rsidRPr="00F43B7E" w:rsidTr="003A6E99">
        <w:tc>
          <w:tcPr>
            <w:tcW w:w="3309" w:type="dxa"/>
            <w:gridSpan w:val="2"/>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t>6.1. Monitoring</w:t>
            </w:r>
          </w:p>
        </w:tc>
        <w:tc>
          <w:tcPr>
            <w:tcW w:w="5707" w:type="dxa"/>
            <w:vMerge w:val="restart"/>
            <w:tcBorders>
              <w:bottom w:val="nil"/>
            </w:tcBorders>
            <w:vAlign w:val="center"/>
          </w:tcPr>
          <w:p w:rsidR="00A0018C" w:rsidRPr="00F43B7E" w:rsidRDefault="00A0018C" w:rsidP="00A453B4">
            <w:pPr>
              <w:jc w:val="center"/>
              <w:rPr>
                <w:rFonts w:cstheme="minorHAnsi"/>
              </w:rPr>
            </w:pPr>
            <w:r>
              <w:object w:dxaOrig="15915" w:dyaOrig="9375">
                <v:shape id="_x0000_i1039" type="#_x0000_t75" style="width:274.55pt;height:161.7pt" o:ole="">
                  <v:imagedata r:id="rId114" o:title=""/>
                </v:shape>
                <o:OLEObject Type="Embed" ProgID="PBrush" ShapeID="_x0000_i1039" DrawAspect="Content" ObjectID="_1591864467" r:id="rId115"/>
              </w:object>
            </w:r>
          </w:p>
        </w:tc>
      </w:tr>
      <w:tr w:rsidR="00A0018C" w:rsidRPr="00F43B7E" w:rsidTr="003A6E99">
        <w:trPr>
          <w:trHeight w:val="4105"/>
        </w:trPr>
        <w:tc>
          <w:tcPr>
            <w:tcW w:w="3309" w:type="dxa"/>
            <w:gridSpan w:val="2"/>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 xml:space="preserve">The application supports the development and adoption of a monitoring mechanism for the implementation of a RIS3 strategy at a national and/or regional level. As it is defined by the EC for the successful implementation of the RIS3 strategy, planning and actions should be in pursuit of the objectives and priorities set and funding allocation should be effectively planned. </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key concepts of Smart Specialisation strategies include the following: Should be specific, significant, and stretching. Their results be measurable, meaningful and motivational. They have to be agreed upon, be achievable, acceptable by the society and action-oriented. They have to be realistic, relevant to each region and results-oriented.</w:t>
            </w:r>
          </w:p>
        </w:tc>
        <w:tc>
          <w:tcPr>
            <w:tcW w:w="5707" w:type="dxa"/>
            <w:vMerge/>
            <w:tcBorders>
              <w:bottom w:val="nil"/>
            </w:tcBorders>
          </w:tcPr>
          <w:p w:rsidR="00A0018C" w:rsidRPr="00F43B7E" w:rsidRDefault="00A0018C" w:rsidP="00A453B4">
            <w:pPr>
              <w:rPr>
                <w:rFonts w:cstheme="minorHAnsi"/>
              </w:rPr>
            </w:pPr>
          </w:p>
        </w:tc>
      </w:tr>
      <w:tr w:rsidR="00A0018C" w:rsidRPr="00F43B7E" w:rsidTr="003A6E99">
        <w:trPr>
          <w:trHeight w:val="564"/>
        </w:trPr>
        <w:tc>
          <w:tcPr>
            <w:tcW w:w="3309" w:type="dxa"/>
            <w:gridSpan w:val="2"/>
            <w:vMerge/>
          </w:tcPr>
          <w:p w:rsidR="00A0018C" w:rsidRPr="00F43B7E" w:rsidRDefault="00A0018C" w:rsidP="00A453B4">
            <w:pPr>
              <w:rPr>
                <w:rFonts w:cstheme="minorHAnsi"/>
              </w:rPr>
            </w:pPr>
          </w:p>
        </w:tc>
        <w:tc>
          <w:tcPr>
            <w:tcW w:w="5707"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116" w:history="1">
              <w:r w:rsidRPr="00946C35">
                <w:rPr>
                  <w:rStyle w:val="Hyperlink"/>
                  <w:rFonts w:cstheme="minorHAnsi"/>
                  <w:sz w:val="20"/>
                </w:rPr>
                <w:t>https://monitoring.s3platform.eu/onlines3_monitoring/about.php</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117" w:history="1">
              <w:r w:rsidRPr="005E42B6">
                <w:rPr>
                  <w:rStyle w:val="Hyperlink"/>
                  <w:rFonts w:cstheme="minorHAnsi"/>
                  <w:szCs w:val="18"/>
                </w:rPr>
                <w:t>https://github.com/OnlineS3/6.1.-RIS3-monitoring.git</w:t>
              </w:r>
            </w:hyperlink>
          </w:p>
        </w:tc>
      </w:tr>
      <w:tr w:rsidR="00A0018C" w:rsidRPr="00F43B7E" w:rsidTr="003A6E99">
        <w:tc>
          <w:tcPr>
            <w:tcW w:w="3282"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lastRenderedPageBreak/>
              <w:t>6.2. Output and result indicators</w:t>
            </w:r>
          </w:p>
        </w:tc>
        <w:tc>
          <w:tcPr>
            <w:tcW w:w="5734" w:type="dxa"/>
            <w:gridSpan w:val="2"/>
            <w:vMerge w:val="restart"/>
            <w:tcBorders>
              <w:bottom w:val="nil"/>
            </w:tcBorders>
            <w:vAlign w:val="center"/>
          </w:tcPr>
          <w:p w:rsidR="00A0018C" w:rsidRPr="00F43B7E" w:rsidRDefault="00A0018C" w:rsidP="00A453B4">
            <w:pPr>
              <w:jc w:val="center"/>
              <w:rPr>
                <w:rFonts w:cstheme="minorHAnsi"/>
              </w:rPr>
            </w:pPr>
            <w:r>
              <w:object w:dxaOrig="14175" w:dyaOrig="12675">
                <v:shape id="_x0000_i1040" type="#_x0000_t75" style="width:250.2pt;height:225.6pt" o:ole="">
                  <v:imagedata r:id="rId118" o:title=""/>
                </v:shape>
                <o:OLEObject Type="Embed" ProgID="PBrush" ShapeID="_x0000_i1040" DrawAspect="Content" ObjectID="_1591864468" r:id="rId119"/>
              </w:object>
            </w:r>
          </w:p>
        </w:tc>
      </w:tr>
      <w:tr w:rsidR="00A0018C" w:rsidRPr="00F43B7E" w:rsidTr="003A6E99">
        <w:trPr>
          <w:trHeight w:val="4544"/>
        </w:trPr>
        <w:tc>
          <w:tcPr>
            <w:tcW w:w="3282"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 xml:space="preserve">The ‘RIS3 Definition of Output and Result Indicators’ method allows regional stakeholders to effectively monitor the implementation of the RIS3 strategies in each region. It facilitates the process of the identification of output and result indicators that are responsive to policy, normative, robust, and are available to be collected or calculated over time, enhancing the quality of the monitoring and evaluation processes. </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data used intend to measure and monitor the achievement of the objectives of individual strategies of development programs / actions of RIS3 and will play a key role in decision-making by providing information on the current each time mode. The procedural use of indicators is to create a system of measurable parameters that will function as directional guide for determining objectives and priorities at national and regional level to achieve the objectives of smart specialisation.</w:t>
            </w:r>
          </w:p>
        </w:tc>
        <w:tc>
          <w:tcPr>
            <w:tcW w:w="5734" w:type="dxa"/>
            <w:gridSpan w:val="2"/>
            <w:vMerge/>
            <w:tcBorders>
              <w:bottom w:val="nil"/>
            </w:tcBorders>
          </w:tcPr>
          <w:p w:rsidR="00A0018C" w:rsidRPr="00F43B7E" w:rsidRDefault="00A0018C" w:rsidP="00A453B4">
            <w:pPr>
              <w:rPr>
                <w:rFonts w:cstheme="minorHAnsi"/>
              </w:rPr>
            </w:pPr>
          </w:p>
        </w:tc>
      </w:tr>
      <w:tr w:rsidR="00A0018C" w:rsidRPr="00F43B7E" w:rsidTr="003A6E99">
        <w:trPr>
          <w:trHeight w:val="564"/>
        </w:trPr>
        <w:tc>
          <w:tcPr>
            <w:tcW w:w="3282" w:type="dxa"/>
            <w:vMerge/>
          </w:tcPr>
          <w:p w:rsidR="00A0018C" w:rsidRPr="00F43B7E" w:rsidRDefault="00A0018C" w:rsidP="00A453B4">
            <w:pPr>
              <w:rPr>
                <w:rFonts w:cstheme="minorHAnsi"/>
              </w:rPr>
            </w:pPr>
          </w:p>
        </w:tc>
        <w:tc>
          <w:tcPr>
            <w:tcW w:w="5734" w:type="dxa"/>
            <w:gridSpan w:val="2"/>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120" w:history="1">
              <w:r w:rsidRPr="008F3BA7">
                <w:rPr>
                  <w:rStyle w:val="Hyperlink"/>
                  <w:rFonts w:cstheme="minorHAnsi"/>
                  <w:sz w:val="18"/>
                </w:rPr>
                <w:t>https://indicators.s3platform.eu/onlines3_indicators_2/about.php</w:t>
              </w:r>
            </w:hyperlink>
            <w:r w:rsidRPr="008F3BA7">
              <w:rPr>
                <w:rFonts w:cstheme="minorHAnsi"/>
                <w:sz w:val="18"/>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121" w:history="1">
              <w:r w:rsidRPr="005E42B6">
                <w:rPr>
                  <w:rStyle w:val="Hyperlink"/>
                  <w:rFonts w:cstheme="minorHAnsi"/>
                  <w:sz w:val="20"/>
                  <w:szCs w:val="18"/>
                </w:rPr>
                <w:t>https://github.com/OnlineS3/6.2.-Definition-of-RIS3-output-and-result-indicators.git</w:t>
              </w:r>
            </w:hyperlink>
          </w:p>
        </w:tc>
      </w:tr>
    </w:tbl>
    <w:p w:rsidR="00A0018C" w:rsidRDefault="00A0018C" w:rsidP="00A0018C"/>
    <w:tbl>
      <w:tblPr>
        <w:tblStyle w:val="TableGrid"/>
        <w:tblW w:w="0" w:type="auto"/>
        <w:tblLook w:val="04A0" w:firstRow="1" w:lastRow="0" w:firstColumn="1" w:lastColumn="0" w:noHBand="0" w:noVBand="1"/>
      </w:tblPr>
      <w:tblGrid>
        <w:gridCol w:w="3265"/>
        <w:gridCol w:w="5751"/>
      </w:tblGrid>
      <w:tr w:rsidR="00A0018C" w:rsidRPr="00F43B7E" w:rsidTr="00A453B4">
        <w:tc>
          <w:tcPr>
            <w:tcW w:w="4675"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t>6.3. Balanced Scorecard</w:t>
            </w:r>
          </w:p>
        </w:tc>
        <w:tc>
          <w:tcPr>
            <w:tcW w:w="4675" w:type="dxa"/>
            <w:vMerge w:val="restart"/>
            <w:tcBorders>
              <w:bottom w:val="nil"/>
            </w:tcBorders>
            <w:vAlign w:val="center"/>
          </w:tcPr>
          <w:p w:rsidR="00A0018C" w:rsidRPr="00F43B7E" w:rsidRDefault="00A0018C" w:rsidP="00A453B4">
            <w:pPr>
              <w:jc w:val="center"/>
              <w:rPr>
                <w:rFonts w:cstheme="minorHAnsi"/>
              </w:rPr>
            </w:pPr>
            <w:r>
              <w:object w:dxaOrig="13905" w:dyaOrig="8565">
                <v:shape id="_x0000_i1041" type="#_x0000_t75" style="width:276.7pt;height:170.45pt" o:ole="">
                  <v:imagedata r:id="rId122" o:title=""/>
                </v:shape>
                <o:OLEObject Type="Embed" ProgID="PBrush" ShapeID="_x0000_i1041" DrawAspect="Content" ObjectID="_1591864469" r:id="rId123"/>
              </w:object>
            </w:r>
          </w:p>
        </w:tc>
      </w:tr>
      <w:tr w:rsidR="00A0018C" w:rsidRPr="00F43B7E" w:rsidTr="00A453B4">
        <w:trPr>
          <w:trHeight w:val="4105"/>
        </w:trPr>
        <w:tc>
          <w:tcPr>
            <w:tcW w:w="4675"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Balanced Scorecard is a strategic planning and management method that aims to align regional authority activities to the vision and strategy of the region. It has been developed, in order to produce a strategic performance measurement system, that could use both non-financial measures and financial metrics, providing a balanced view of the performance of policy implementation processes.</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balanced scorecard application is a tool that helps identify what needs to be done and what should be measured, based on the RIS3 strategic plan of the region.</w:t>
            </w:r>
          </w:p>
        </w:tc>
        <w:tc>
          <w:tcPr>
            <w:tcW w:w="4675"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124" w:history="1">
              <w:r w:rsidRPr="00F644F2">
                <w:rPr>
                  <w:rStyle w:val="Hyperlink"/>
                  <w:rFonts w:cstheme="minorHAnsi"/>
                </w:rPr>
                <w:t>http://li1088-54.members.linode.com:8082/bscapp/</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125" w:history="1">
              <w:r w:rsidRPr="005E42B6">
                <w:rPr>
                  <w:rStyle w:val="Hyperlink"/>
                  <w:rFonts w:cstheme="minorHAnsi"/>
                  <w:szCs w:val="18"/>
                </w:rPr>
                <w:t>https://github.com/OnlineS3/6.3.-Balanced-scorecard</w:t>
              </w:r>
            </w:hyperlink>
          </w:p>
        </w:tc>
      </w:tr>
    </w:tbl>
    <w:p w:rsidR="00A0018C" w:rsidRDefault="00A0018C" w:rsidP="00A0018C"/>
    <w:tbl>
      <w:tblPr>
        <w:tblStyle w:val="TableGrid"/>
        <w:tblW w:w="0" w:type="auto"/>
        <w:tblLook w:val="04A0" w:firstRow="1" w:lastRow="0" w:firstColumn="1" w:lastColumn="0" w:noHBand="0" w:noVBand="1"/>
      </w:tblPr>
      <w:tblGrid>
        <w:gridCol w:w="3185"/>
        <w:gridCol w:w="5831"/>
      </w:tblGrid>
      <w:tr w:rsidR="00A0018C" w:rsidRPr="00F43B7E" w:rsidTr="00A453B4">
        <w:tc>
          <w:tcPr>
            <w:tcW w:w="3519"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lastRenderedPageBreak/>
              <w:t>6.4. Beneficiaries and End-Users’ Satisfaction Survey</w:t>
            </w:r>
          </w:p>
        </w:tc>
        <w:tc>
          <w:tcPr>
            <w:tcW w:w="5831" w:type="dxa"/>
            <w:vMerge w:val="restart"/>
            <w:tcBorders>
              <w:bottom w:val="nil"/>
            </w:tcBorders>
            <w:vAlign w:val="center"/>
          </w:tcPr>
          <w:p w:rsidR="00A0018C" w:rsidRPr="00F43B7E" w:rsidRDefault="00A0018C" w:rsidP="00A453B4">
            <w:pPr>
              <w:jc w:val="center"/>
              <w:rPr>
                <w:rFonts w:cstheme="minorHAnsi"/>
              </w:rPr>
            </w:pPr>
            <w:r>
              <w:object w:dxaOrig="17655" w:dyaOrig="10575">
                <v:shape id="_x0000_i1042" type="#_x0000_t75" style="width:280.7pt;height:168.65pt" o:ole="">
                  <v:imagedata r:id="rId126" o:title=""/>
                </v:shape>
                <o:OLEObject Type="Embed" ProgID="PBrush" ShapeID="_x0000_i1042" DrawAspect="Content" ObjectID="_1591864470" r:id="rId127"/>
              </w:object>
            </w:r>
          </w:p>
        </w:tc>
      </w:tr>
      <w:tr w:rsidR="00A0018C" w:rsidRPr="00F43B7E" w:rsidTr="00A453B4">
        <w:trPr>
          <w:trHeight w:val="4105"/>
        </w:trPr>
        <w:tc>
          <w:tcPr>
            <w:tcW w:w="3519"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This application enables collecting reviews and comments from RIS3 beneficiaries (end users) regarding the RIS3 and its implementation. This will help policy-makers understand how well-suited the strategy and the related activities were to the RIS3 beneficiaries (firms, research institutes, universities, public sector and civil society organisations).</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This application includes a ready survey template, which can save policy-makers from the effort of coming up with entirely own questions. Read the Guide section for a step-by-step description of how to use this application. In addition, we provide an example survey for pilot testing purposes.</w:t>
            </w:r>
          </w:p>
        </w:tc>
        <w:tc>
          <w:tcPr>
            <w:tcW w:w="5831"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3519" w:type="dxa"/>
            <w:vMerge/>
          </w:tcPr>
          <w:p w:rsidR="00A0018C" w:rsidRPr="00F43B7E" w:rsidRDefault="00A0018C" w:rsidP="00A453B4">
            <w:pPr>
              <w:rPr>
                <w:rFonts w:cstheme="minorHAnsi"/>
              </w:rPr>
            </w:pPr>
          </w:p>
        </w:tc>
        <w:tc>
          <w:tcPr>
            <w:tcW w:w="5831"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128" w:history="1">
              <w:r w:rsidRPr="00F644F2">
                <w:rPr>
                  <w:rStyle w:val="Hyperlink"/>
                  <w:rFonts w:cstheme="minorHAnsi"/>
                </w:rPr>
                <w:t>http://satisfactionsurvey.s3platform.eu/</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129" w:history="1">
              <w:r w:rsidRPr="005E42B6">
                <w:rPr>
                  <w:rStyle w:val="Hyperlink"/>
                  <w:rFonts w:cstheme="minorHAnsi"/>
                  <w:sz w:val="20"/>
                  <w:szCs w:val="18"/>
                </w:rPr>
                <w:t>https://github.com/OnlineS3/6.4.-RIS3-beneficiaries-and-end-users-satisfaction-online-survey</w:t>
              </w:r>
            </w:hyperlink>
          </w:p>
        </w:tc>
      </w:tr>
    </w:tbl>
    <w:p w:rsidR="00A0018C" w:rsidRDefault="00A0018C" w:rsidP="00A0018C"/>
    <w:tbl>
      <w:tblPr>
        <w:tblStyle w:val="TableGrid"/>
        <w:tblW w:w="0" w:type="auto"/>
        <w:tblLook w:val="04A0" w:firstRow="1" w:lastRow="0" w:firstColumn="1" w:lastColumn="0" w:noHBand="0" w:noVBand="1"/>
      </w:tblPr>
      <w:tblGrid>
        <w:gridCol w:w="3671"/>
        <w:gridCol w:w="5345"/>
      </w:tblGrid>
      <w:tr w:rsidR="00A0018C" w:rsidRPr="00F43B7E" w:rsidTr="00A453B4">
        <w:tc>
          <w:tcPr>
            <w:tcW w:w="3671"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t>6.5. Social Media Analysis</w:t>
            </w:r>
          </w:p>
        </w:tc>
        <w:tc>
          <w:tcPr>
            <w:tcW w:w="5345" w:type="dxa"/>
            <w:vMerge w:val="restart"/>
            <w:tcBorders>
              <w:bottom w:val="nil"/>
            </w:tcBorders>
            <w:vAlign w:val="center"/>
          </w:tcPr>
          <w:p w:rsidR="00A0018C" w:rsidRPr="00F43B7E" w:rsidRDefault="00A0018C" w:rsidP="00A453B4">
            <w:pPr>
              <w:jc w:val="center"/>
              <w:rPr>
                <w:rFonts w:cstheme="minorHAnsi"/>
              </w:rPr>
            </w:pPr>
            <w:r>
              <w:object w:dxaOrig="11775" w:dyaOrig="11805">
                <v:shape id="_x0000_i1043" type="#_x0000_t75" style="width:255.5pt;height:257.95pt" o:ole="">
                  <v:imagedata r:id="rId130" o:title=""/>
                </v:shape>
                <o:OLEObject Type="Embed" ProgID="PBrush" ShapeID="_x0000_i1043" DrawAspect="Content" ObjectID="_1591864471" r:id="rId131"/>
              </w:object>
            </w:r>
          </w:p>
        </w:tc>
      </w:tr>
      <w:tr w:rsidR="00A0018C" w:rsidRPr="00F43B7E" w:rsidTr="00A453B4">
        <w:trPr>
          <w:trHeight w:val="3695"/>
        </w:trPr>
        <w:tc>
          <w:tcPr>
            <w:tcW w:w="3671"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use of social media analytics in RIS3 can offer simple indicators for monitoring the RIS3 process and implement cross-regional comparative analysis by using data coming from social media sites, such as Twitter, Facebook, Instagram and LinkedIn. This application uses data coming only from Twitter, since Twitter allows the potential user to retrieve data from other accounts as well. Using the knowledge extracted from these data sources, the RIS3 can be improved by:</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 integrating valuable stakeholders’ insights, opinions and feedback</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 stimulating collaboration</w:t>
            </w:r>
          </w:p>
          <w:p w:rsidR="00A0018C" w:rsidRPr="00A453B4" w:rsidRDefault="00A0018C" w:rsidP="00A453B4">
            <w:pPr>
              <w:spacing w:before="120" w:after="120"/>
              <w:rPr>
                <w:rFonts w:ascii="Cambria" w:eastAsiaTheme="majorEastAsia" w:hAnsi="Cambria" w:cstheme="minorHAnsi"/>
                <w:spacing w:val="-10"/>
                <w:kern w:val="28"/>
              </w:rPr>
            </w:pPr>
            <w:r w:rsidRPr="00A453B4">
              <w:rPr>
                <w:rFonts w:ascii="Cambria" w:eastAsiaTheme="majorEastAsia" w:hAnsi="Cambria" w:cstheme="minorHAnsi"/>
                <w:spacing w:val="-10"/>
                <w:kern w:val="28"/>
              </w:rPr>
              <w:t>- supporting evidence-based decision-making processes by taking public opinion into account.</w:t>
            </w:r>
          </w:p>
        </w:tc>
        <w:tc>
          <w:tcPr>
            <w:tcW w:w="5345"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3671" w:type="dxa"/>
            <w:vMerge/>
          </w:tcPr>
          <w:p w:rsidR="00A0018C" w:rsidRPr="00F43B7E" w:rsidRDefault="00A0018C" w:rsidP="00A453B4">
            <w:pPr>
              <w:rPr>
                <w:rFonts w:cstheme="minorHAnsi"/>
              </w:rPr>
            </w:pPr>
          </w:p>
        </w:tc>
        <w:tc>
          <w:tcPr>
            <w:tcW w:w="5345" w:type="dxa"/>
            <w:tcBorders>
              <w:top w:val="nil"/>
            </w:tcBorders>
          </w:tcPr>
          <w:p w:rsidR="00A0018C" w:rsidRPr="00F43B7E" w:rsidRDefault="00A0018C" w:rsidP="00A453B4">
            <w:pPr>
              <w:rPr>
                <w:rFonts w:cstheme="minorHAnsi"/>
              </w:rPr>
            </w:pPr>
            <w:r w:rsidRPr="00F43B7E">
              <w:rPr>
                <w:rFonts w:cstheme="minorHAnsi"/>
                <w:b/>
              </w:rPr>
              <w:t>Link:</w:t>
            </w:r>
            <w:r w:rsidRPr="00F43B7E">
              <w:rPr>
                <w:rFonts w:cstheme="minorHAnsi"/>
              </w:rPr>
              <w:t xml:space="preserve"> </w:t>
            </w:r>
            <w:hyperlink r:id="rId132" w:history="1">
              <w:r w:rsidRPr="00F644F2">
                <w:rPr>
                  <w:rStyle w:val="Hyperlink"/>
                  <w:rFonts w:cstheme="minorHAnsi"/>
                </w:rPr>
                <w:t>http://socialmediaanalysis.s3platform.eu/SMAapp/about</w:t>
              </w:r>
            </w:hyperlink>
            <w:r>
              <w:rPr>
                <w:rFonts w:cstheme="minorHAnsi"/>
              </w:rPr>
              <w:t xml:space="preserve"> </w:t>
            </w:r>
          </w:p>
          <w:p w:rsidR="00A0018C" w:rsidRPr="00F43B7E" w:rsidRDefault="00A0018C" w:rsidP="00A453B4">
            <w:pPr>
              <w:rPr>
                <w:rFonts w:cstheme="minorHAnsi"/>
              </w:rPr>
            </w:pPr>
            <w:r w:rsidRPr="00F43B7E">
              <w:rPr>
                <w:rFonts w:cstheme="minorHAnsi"/>
                <w:b/>
              </w:rPr>
              <w:t>Source code:</w:t>
            </w:r>
            <w:r w:rsidRPr="00F43B7E">
              <w:rPr>
                <w:rFonts w:cstheme="minorHAnsi"/>
              </w:rPr>
              <w:t xml:space="preserve"> </w:t>
            </w:r>
            <w:hyperlink r:id="rId133" w:history="1">
              <w:r w:rsidRPr="005E42B6">
                <w:rPr>
                  <w:rStyle w:val="Hyperlink"/>
                  <w:rFonts w:cstheme="minorHAnsi"/>
                  <w:szCs w:val="18"/>
                </w:rPr>
                <w:t>https://github.com/OnlineS3/6.5.-RIS3-social-media-analysis</w:t>
              </w:r>
            </w:hyperlink>
          </w:p>
        </w:tc>
      </w:tr>
    </w:tbl>
    <w:p w:rsidR="003A6E99" w:rsidRDefault="003A6E99"/>
    <w:p w:rsidR="003A6E99" w:rsidRDefault="003A6E99"/>
    <w:p w:rsidR="003A6E99" w:rsidRDefault="003A6E99"/>
    <w:tbl>
      <w:tblPr>
        <w:tblStyle w:val="TableGrid"/>
        <w:tblW w:w="0" w:type="auto"/>
        <w:tblLook w:val="04A0" w:firstRow="1" w:lastRow="0" w:firstColumn="1" w:lastColumn="0" w:noHBand="0" w:noVBand="1"/>
      </w:tblPr>
      <w:tblGrid>
        <w:gridCol w:w="3270"/>
        <w:gridCol w:w="5746"/>
      </w:tblGrid>
      <w:tr w:rsidR="00A0018C" w:rsidRPr="00F43B7E" w:rsidTr="00A453B4">
        <w:tc>
          <w:tcPr>
            <w:tcW w:w="3270" w:type="dxa"/>
            <w:tcBorders>
              <w:bottom w:val="nil"/>
            </w:tcBorders>
            <w:shd w:val="clear" w:color="auto" w:fill="70AD47" w:themeFill="accent6"/>
          </w:tcPr>
          <w:p w:rsidR="00A0018C" w:rsidRPr="00F43B7E" w:rsidRDefault="00A0018C" w:rsidP="00A453B4">
            <w:pPr>
              <w:rPr>
                <w:rFonts w:cstheme="minorHAnsi"/>
                <w:b/>
              </w:rPr>
            </w:pPr>
            <w:r>
              <w:rPr>
                <w:rFonts w:cstheme="minorHAnsi"/>
                <w:b/>
              </w:rPr>
              <w:lastRenderedPageBreak/>
              <w:t>R1. Mini-S3 Roadmap</w:t>
            </w:r>
            <w:r w:rsidRPr="00F43B7E">
              <w:rPr>
                <w:rFonts w:cstheme="minorHAnsi"/>
                <w:b/>
              </w:rPr>
              <w:t xml:space="preserve"> </w:t>
            </w:r>
          </w:p>
        </w:tc>
        <w:tc>
          <w:tcPr>
            <w:tcW w:w="5746" w:type="dxa"/>
            <w:vMerge w:val="restart"/>
            <w:tcBorders>
              <w:bottom w:val="nil"/>
            </w:tcBorders>
            <w:vAlign w:val="center"/>
          </w:tcPr>
          <w:p w:rsidR="00A0018C" w:rsidRPr="00F43B7E" w:rsidRDefault="00A0018C" w:rsidP="00A453B4">
            <w:pPr>
              <w:jc w:val="center"/>
              <w:rPr>
                <w:rFonts w:cstheme="minorHAnsi"/>
              </w:rPr>
            </w:pPr>
            <w:r>
              <w:object w:dxaOrig="12315" w:dyaOrig="10545">
                <v:shape id="_x0000_i1044" type="#_x0000_t75" style="width:276.45pt;height:236.75pt" o:ole="">
                  <v:imagedata r:id="rId134" o:title=""/>
                </v:shape>
                <o:OLEObject Type="Embed" ProgID="PBrush" ShapeID="_x0000_i1044" DrawAspect="Content" ObjectID="_1591864472" r:id="rId135"/>
              </w:object>
            </w:r>
          </w:p>
        </w:tc>
      </w:tr>
      <w:tr w:rsidR="00A0018C" w:rsidRPr="00F43B7E" w:rsidTr="00A453B4">
        <w:trPr>
          <w:trHeight w:val="5522"/>
        </w:trPr>
        <w:tc>
          <w:tcPr>
            <w:tcW w:w="3270"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 xml:space="preserve">It is essential to highlight the fact that the use of all the 29 applications during a decision-making process is not the main target of this platform. On the contrary, the Online-S3 Platform aims to present a wide selection of methodologies and their corresponding tools to policy-makers, so they can select the ones that they want to use, based on the type of analysis that will be implemented. </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Mini-S3 roadmap has been designed, including only a short list of the most essential methodologies and tools that could be used during a RIS3 design process. This roadmap includes a set of 14 applications, that have been chosen based on the importance of the corresponding methodology, as well as the feedback we have received from the users, regarding their user friendliness. The selection of the tools tries to cover the whole RIS3 strategic planning process.</w:t>
            </w:r>
          </w:p>
        </w:tc>
        <w:tc>
          <w:tcPr>
            <w:tcW w:w="5746"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3270" w:type="dxa"/>
            <w:vMerge/>
          </w:tcPr>
          <w:p w:rsidR="00A0018C" w:rsidRPr="00F43B7E" w:rsidRDefault="00A0018C" w:rsidP="00A453B4">
            <w:pPr>
              <w:rPr>
                <w:rFonts w:cstheme="minorHAnsi"/>
              </w:rPr>
            </w:pPr>
          </w:p>
        </w:tc>
        <w:tc>
          <w:tcPr>
            <w:tcW w:w="5746" w:type="dxa"/>
            <w:tcBorders>
              <w:top w:val="nil"/>
            </w:tcBorders>
            <w:vAlign w:val="center"/>
          </w:tcPr>
          <w:p w:rsidR="00A0018C" w:rsidRPr="00F43B7E" w:rsidRDefault="00A0018C" w:rsidP="00A453B4">
            <w:pPr>
              <w:rPr>
                <w:rFonts w:cstheme="minorHAnsi"/>
              </w:rPr>
            </w:pPr>
            <w:r w:rsidRPr="00F43B7E">
              <w:rPr>
                <w:rFonts w:cstheme="minorHAnsi"/>
                <w:b/>
              </w:rPr>
              <w:t>Link:</w:t>
            </w:r>
            <w:r>
              <w:rPr>
                <w:rFonts w:cstheme="minorHAnsi"/>
              </w:rPr>
              <w:t xml:space="preserve"> </w:t>
            </w:r>
            <w:hyperlink r:id="rId136" w:history="1">
              <w:r w:rsidRPr="00F644F2">
                <w:rPr>
                  <w:rStyle w:val="Hyperlink"/>
                  <w:rFonts w:cstheme="minorHAnsi"/>
                </w:rPr>
                <w:t>http://www.s3platform.eu/mini-s3/</w:t>
              </w:r>
            </w:hyperlink>
            <w:r>
              <w:rPr>
                <w:rFonts w:cstheme="minorHAnsi"/>
              </w:rPr>
              <w:t xml:space="preserve"> </w:t>
            </w:r>
          </w:p>
        </w:tc>
      </w:tr>
    </w:tbl>
    <w:p w:rsidR="00A0018C" w:rsidRDefault="00A0018C" w:rsidP="00A0018C"/>
    <w:tbl>
      <w:tblPr>
        <w:tblStyle w:val="TableGrid"/>
        <w:tblW w:w="0" w:type="auto"/>
        <w:tblLook w:val="04A0" w:firstRow="1" w:lastRow="0" w:firstColumn="1" w:lastColumn="0" w:noHBand="0" w:noVBand="1"/>
      </w:tblPr>
      <w:tblGrid>
        <w:gridCol w:w="3265"/>
        <w:gridCol w:w="76"/>
        <w:gridCol w:w="5675"/>
      </w:tblGrid>
      <w:tr w:rsidR="00A0018C" w:rsidRPr="00F43B7E" w:rsidTr="009B207B">
        <w:tc>
          <w:tcPr>
            <w:tcW w:w="3265" w:type="dxa"/>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t xml:space="preserve">R2. </w:t>
            </w:r>
            <w:r w:rsidR="009B207B" w:rsidRPr="00A453B4">
              <w:rPr>
                <w:rFonts w:ascii="Cambria" w:hAnsi="Cambria" w:cstheme="minorHAnsi"/>
                <w:b/>
              </w:rPr>
              <w:t xml:space="preserve">EDP </w:t>
            </w:r>
            <w:r w:rsidRPr="00A453B4">
              <w:rPr>
                <w:rFonts w:ascii="Cambria" w:hAnsi="Cambria" w:cstheme="minorHAnsi"/>
                <w:b/>
              </w:rPr>
              <w:t xml:space="preserve">Roadmap </w:t>
            </w:r>
          </w:p>
        </w:tc>
        <w:tc>
          <w:tcPr>
            <w:tcW w:w="5751" w:type="dxa"/>
            <w:gridSpan w:val="2"/>
            <w:vMerge w:val="restart"/>
            <w:tcBorders>
              <w:bottom w:val="nil"/>
            </w:tcBorders>
            <w:vAlign w:val="center"/>
          </w:tcPr>
          <w:p w:rsidR="00A0018C" w:rsidRPr="00F43B7E" w:rsidRDefault="00A0018C" w:rsidP="00A453B4">
            <w:pPr>
              <w:jc w:val="center"/>
              <w:rPr>
                <w:rFonts w:cstheme="minorHAnsi"/>
              </w:rPr>
            </w:pPr>
            <w:r>
              <w:object w:dxaOrig="12465" w:dyaOrig="11835">
                <v:shape id="_x0000_i1045" type="#_x0000_t75" style="width:276.7pt;height:261.55pt" o:ole="">
                  <v:imagedata r:id="rId137" o:title=""/>
                </v:shape>
                <o:OLEObject Type="Embed" ProgID="PBrush" ShapeID="_x0000_i1045" DrawAspect="Content" ObjectID="_1591864473" r:id="rId138"/>
              </w:object>
            </w:r>
          </w:p>
        </w:tc>
      </w:tr>
      <w:tr w:rsidR="00A0018C" w:rsidRPr="00F43B7E" w:rsidTr="009B207B">
        <w:trPr>
          <w:trHeight w:val="4105"/>
        </w:trPr>
        <w:tc>
          <w:tcPr>
            <w:tcW w:w="3265" w:type="dxa"/>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Enterprenurial Discovery process is an interactive bottom-up process to determine promising sectors for investment and future competitiveness. The process is inclusive, and it is driven by market dynamics and the views of stakeholders in the region. During the EDP, different entrepreneurial actors are brought together in a government-led participatory process to jointly identify fields with smart specialization potential and define possible activities for progressive development.</w:t>
            </w:r>
          </w:p>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The EDP workflow is divided into three sections; Knowledge Production, Stakeholder Engagement and Knowledge Sharing and Collaborative Decision Making.</w:t>
            </w:r>
          </w:p>
        </w:tc>
        <w:tc>
          <w:tcPr>
            <w:tcW w:w="5751" w:type="dxa"/>
            <w:gridSpan w:val="2"/>
            <w:vMerge/>
            <w:tcBorders>
              <w:bottom w:val="nil"/>
            </w:tcBorders>
          </w:tcPr>
          <w:p w:rsidR="00A0018C" w:rsidRPr="00F43B7E" w:rsidRDefault="00A0018C" w:rsidP="00A453B4">
            <w:pPr>
              <w:rPr>
                <w:rFonts w:cstheme="minorHAnsi"/>
              </w:rPr>
            </w:pPr>
          </w:p>
        </w:tc>
      </w:tr>
      <w:tr w:rsidR="00A0018C" w:rsidRPr="00F43B7E" w:rsidTr="009B207B">
        <w:trPr>
          <w:trHeight w:val="564"/>
        </w:trPr>
        <w:tc>
          <w:tcPr>
            <w:tcW w:w="3265" w:type="dxa"/>
            <w:vMerge/>
          </w:tcPr>
          <w:p w:rsidR="00A0018C" w:rsidRPr="00F43B7E" w:rsidRDefault="00A0018C" w:rsidP="00A453B4">
            <w:pPr>
              <w:rPr>
                <w:rFonts w:cstheme="minorHAnsi"/>
              </w:rPr>
            </w:pPr>
          </w:p>
        </w:tc>
        <w:tc>
          <w:tcPr>
            <w:tcW w:w="5751" w:type="dxa"/>
            <w:gridSpan w:val="2"/>
            <w:tcBorders>
              <w:top w:val="nil"/>
            </w:tcBorders>
            <w:vAlign w:val="center"/>
          </w:tcPr>
          <w:p w:rsidR="00A0018C" w:rsidRPr="00F43B7E" w:rsidRDefault="00A0018C" w:rsidP="00A453B4">
            <w:pPr>
              <w:rPr>
                <w:rFonts w:cstheme="minorHAnsi"/>
              </w:rPr>
            </w:pPr>
            <w:r w:rsidRPr="00F43B7E">
              <w:rPr>
                <w:rFonts w:cstheme="minorHAnsi"/>
                <w:b/>
              </w:rPr>
              <w:t>Link:</w:t>
            </w:r>
            <w:r>
              <w:rPr>
                <w:rFonts w:cstheme="minorHAnsi"/>
              </w:rPr>
              <w:t xml:space="preserve"> </w:t>
            </w:r>
            <w:hyperlink r:id="rId139" w:history="1">
              <w:r w:rsidRPr="00F644F2">
                <w:rPr>
                  <w:rStyle w:val="Hyperlink"/>
                  <w:rFonts w:cstheme="minorHAnsi"/>
                </w:rPr>
                <w:t>http://www.s3platform.eu/edp/</w:t>
              </w:r>
            </w:hyperlink>
            <w:r>
              <w:rPr>
                <w:rFonts w:cstheme="minorHAnsi"/>
              </w:rPr>
              <w:t xml:space="preserve"> </w:t>
            </w:r>
          </w:p>
        </w:tc>
      </w:tr>
      <w:tr w:rsidR="00A0018C" w:rsidRPr="00F43B7E" w:rsidTr="009B207B">
        <w:tc>
          <w:tcPr>
            <w:tcW w:w="3341" w:type="dxa"/>
            <w:gridSpan w:val="2"/>
            <w:tcBorders>
              <w:bottom w:val="nil"/>
            </w:tcBorders>
            <w:shd w:val="clear" w:color="auto" w:fill="70AD47" w:themeFill="accent6"/>
          </w:tcPr>
          <w:p w:rsidR="00A0018C" w:rsidRPr="00A453B4" w:rsidRDefault="00A0018C" w:rsidP="00A453B4">
            <w:pPr>
              <w:rPr>
                <w:rFonts w:ascii="Cambria" w:hAnsi="Cambria" w:cstheme="minorHAnsi"/>
                <w:b/>
              </w:rPr>
            </w:pPr>
            <w:r w:rsidRPr="00A453B4">
              <w:rPr>
                <w:rFonts w:ascii="Cambria" w:hAnsi="Cambria" w:cstheme="minorHAnsi"/>
                <w:b/>
              </w:rPr>
              <w:lastRenderedPageBreak/>
              <w:t>R3. Specialisation Roadmap</w:t>
            </w:r>
          </w:p>
        </w:tc>
        <w:tc>
          <w:tcPr>
            <w:tcW w:w="5675" w:type="dxa"/>
            <w:vMerge w:val="restart"/>
            <w:tcBorders>
              <w:bottom w:val="nil"/>
            </w:tcBorders>
            <w:vAlign w:val="center"/>
          </w:tcPr>
          <w:p w:rsidR="00A0018C" w:rsidRPr="00F43B7E" w:rsidRDefault="00A0018C" w:rsidP="00A453B4">
            <w:pPr>
              <w:jc w:val="center"/>
              <w:rPr>
                <w:rFonts w:cstheme="minorHAnsi"/>
              </w:rPr>
            </w:pPr>
            <w:r>
              <w:object w:dxaOrig="12405" w:dyaOrig="12915">
                <v:shape id="_x0000_i1046" type="#_x0000_t75" style="width:272.9pt;height:284.15pt" o:ole="">
                  <v:imagedata r:id="rId140" o:title=""/>
                </v:shape>
                <o:OLEObject Type="Embed" ProgID="PBrush" ShapeID="_x0000_i1046" DrawAspect="Content" ObjectID="_1591864474" r:id="rId141"/>
              </w:object>
            </w:r>
          </w:p>
        </w:tc>
      </w:tr>
      <w:tr w:rsidR="00A0018C" w:rsidRPr="00F43B7E" w:rsidTr="009B207B">
        <w:trPr>
          <w:trHeight w:val="4105"/>
        </w:trPr>
        <w:tc>
          <w:tcPr>
            <w:tcW w:w="3341" w:type="dxa"/>
            <w:gridSpan w:val="2"/>
            <w:vMerge w:val="restart"/>
            <w:tcBorders>
              <w:top w:val="nil"/>
            </w:tcBorders>
          </w:tcPr>
          <w:p w:rsidR="00A0018C" w:rsidRPr="00A453B4" w:rsidRDefault="00A0018C" w:rsidP="00A453B4">
            <w:pPr>
              <w:spacing w:before="120"/>
              <w:rPr>
                <w:rFonts w:ascii="Cambria" w:eastAsiaTheme="majorEastAsia" w:hAnsi="Cambria" w:cstheme="minorHAnsi"/>
                <w:spacing w:val="-10"/>
                <w:kern w:val="28"/>
              </w:rPr>
            </w:pPr>
            <w:r w:rsidRPr="00A453B4">
              <w:rPr>
                <w:rFonts w:ascii="Cambria" w:eastAsiaTheme="majorEastAsia" w:hAnsi="Cambria" w:cstheme="minorHAnsi"/>
                <w:spacing w:val="-10"/>
                <w:kern w:val="28"/>
              </w:rPr>
              <w:t>This roadmap addresses the issue of the significance and role of specialisation analysis in the context of the development and implementation of a smart specialisation strategy for research and innovation. Specialisation analysis has a threefold usefulness in the process of designing and implementing RIS3:</w:t>
            </w:r>
          </w:p>
          <w:p w:rsidR="00A0018C" w:rsidRPr="00A453B4" w:rsidRDefault="00A0018C" w:rsidP="00A453B4">
            <w:pPr>
              <w:pStyle w:val="ListParagraph"/>
              <w:numPr>
                <w:ilvl w:val="0"/>
                <w:numId w:val="25"/>
              </w:numPr>
              <w:spacing w:before="120"/>
              <w:contextualSpacing/>
              <w:rPr>
                <w:rFonts w:ascii="Cambria" w:eastAsiaTheme="majorEastAsia" w:hAnsi="Cambria" w:cstheme="minorHAnsi"/>
                <w:spacing w:val="-10"/>
                <w:kern w:val="28"/>
              </w:rPr>
            </w:pPr>
            <w:r w:rsidRPr="00A453B4">
              <w:rPr>
                <w:rFonts w:ascii="Cambria" w:eastAsiaTheme="majorEastAsia" w:hAnsi="Cambria" w:cstheme="minorHAnsi"/>
                <w:spacing w:val="-10"/>
                <w:kern w:val="28"/>
              </w:rPr>
              <w:t>it helps inform the Entrepreneurial Discovery Process (EDP) on RIS3 prioritisation choices,</w:t>
            </w:r>
          </w:p>
          <w:p w:rsidR="00A0018C" w:rsidRPr="00A453B4" w:rsidRDefault="00A0018C" w:rsidP="00A453B4">
            <w:pPr>
              <w:pStyle w:val="ListParagraph"/>
              <w:numPr>
                <w:ilvl w:val="0"/>
                <w:numId w:val="25"/>
              </w:numPr>
              <w:spacing w:before="120"/>
              <w:contextualSpacing/>
              <w:rPr>
                <w:rFonts w:ascii="Cambria" w:eastAsiaTheme="majorEastAsia" w:hAnsi="Cambria" w:cstheme="minorHAnsi"/>
                <w:spacing w:val="-10"/>
                <w:kern w:val="28"/>
              </w:rPr>
            </w:pPr>
            <w:r w:rsidRPr="00A453B4">
              <w:rPr>
                <w:rFonts w:ascii="Cambria" w:eastAsiaTheme="majorEastAsia" w:hAnsi="Cambria" w:cstheme="minorHAnsi"/>
                <w:spacing w:val="-10"/>
                <w:kern w:val="28"/>
              </w:rPr>
              <w:t>it facilitates public-private investment decision-making in RIS3 priority areas, and</w:t>
            </w:r>
          </w:p>
          <w:p w:rsidR="00A0018C" w:rsidRPr="00A453B4" w:rsidRDefault="00A0018C" w:rsidP="00A453B4">
            <w:pPr>
              <w:pStyle w:val="ListParagraph"/>
              <w:numPr>
                <w:ilvl w:val="0"/>
                <w:numId w:val="25"/>
              </w:numPr>
              <w:spacing w:before="120"/>
              <w:contextualSpacing/>
              <w:rPr>
                <w:rFonts w:ascii="Cambria" w:eastAsiaTheme="majorEastAsia" w:hAnsi="Cambria" w:cstheme="minorHAnsi"/>
                <w:spacing w:val="-10"/>
                <w:kern w:val="28"/>
              </w:rPr>
            </w:pPr>
            <w:r w:rsidRPr="00A453B4">
              <w:rPr>
                <w:rFonts w:ascii="Cambria" w:eastAsiaTheme="majorEastAsia" w:hAnsi="Cambria" w:cstheme="minorHAnsi"/>
                <w:spacing w:val="-10"/>
                <w:kern w:val="28"/>
              </w:rPr>
              <w:t>it supports system of monitoring and evaluation (M&amp;E) in that it makes possible to change (‘real-time’) regional specialisation during the RIS3 implementation.</w:t>
            </w:r>
          </w:p>
        </w:tc>
        <w:tc>
          <w:tcPr>
            <w:tcW w:w="5675" w:type="dxa"/>
            <w:vMerge/>
            <w:tcBorders>
              <w:bottom w:val="nil"/>
            </w:tcBorders>
          </w:tcPr>
          <w:p w:rsidR="00A0018C" w:rsidRPr="00F43B7E" w:rsidRDefault="00A0018C" w:rsidP="00A453B4">
            <w:pPr>
              <w:rPr>
                <w:rFonts w:cstheme="minorHAnsi"/>
              </w:rPr>
            </w:pPr>
          </w:p>
        </w:tc>
      </w:tr>
      <w:tr w:rsidR="00A0018C" w:rsidRPr="00F43B7E" w:rsidTr="009B207B">
        <w:trPr>
          <w:trHeight w:val="564"/>
        </w:trPr>
        <w:tc>
          <w:tcPr>
            <w:tcW w:w="3341" w:type="dxa"/>
            <w:gridSpan w:val="2"/>
            <w:vMerge/>
          </w:tcPr>
          <w:p w:rsidR="00A0018C" w:rsidRPr="00F43B7E" w:rsidRDefault="00A0018C" w:rsidP="00A453B4">
            <w:pPr>
              <w:rPr>
                <w:rFonts w:cstheme="minorHAnsi"/>
              </w:rPr>
            </w:pPr>
          </w:p>
        </w:tc>
        <w:tc>
          <w:tcPr>
            <w:tcW w:w="5675" w:type="dxa"/>
            <w:tcBorders>
              <w:top w:val="nil"/>
            </w:tcBorders>
            <w:vAlign w:val="center"/>
          </w:tcPr>
          <w:p w:rsidR="00A0018C" w:rsidRPr="00F43B7E" w:rsidRDefault="00A0018C" w:rsidP="00A453B4">
            <w:pPr>
              <w:rPr>
                <w:rFonts w:cstheme="minorHAnsi"/>
              </w:rPr>
            </w:pPr>
            <w:r w:rsidRPr="00F43B7E">
              <w:rPr>
                <w:rFonts w:cstheme="minorHAnsi"/>
                <w:b/>
              </w:rPr>
              <w:t>Link:</w:t>
            </w:r>
            <w:r>
              <w:rPr>
                <w:rFonts w:cstheme="minorHAnsi"/>
              </w:rPr>
              <w:t xml:space="preserve"> </w:t>
            </w:r>
            <w:hyperlink r:id="rId142" w:history="1">
              <w:r w:rsidRPr="00F644F2">
                <w:rPr>
                  <w:rStyle w:val="Hyperlink"/>
                  <w:rFonts w:cstheme="minorHAnsi"/>
                </w:rPr>
                <w:t>http://www.s3platform.eu/specialisation/</w:t>
              </w:r>
            </w:hyperlink>
            <w:r>
              <w:rPr>
                <w:rFonts w:cstheme="minorHAnsi"/>
              </w:rPr>
              <w:t xml:space="preserve"> </w:t>
            </w:r>
          </w:p>
        </w:tc>
      </w:tr>
    </w:tbl>
    <w:p w:rsidR="00A0018C" w:rsidRDefault="00A0018C" w:rsidP="00A0018C"/>
    <w:tbl>
      <w:tblPr>
        <w:tblStyle w:val="TableGrid"/>
        <w:tblW w:w="0" w:type="auto"/>
        <w:tblLook w:val="04A0" w:firstRow="1" w:lastRow="0" w:firstColumn="1" w:lastColumn="0" w:noHBand="0" w:noVBand="1"/>
      </w:tblPr>
      <w:tblGrid>
        <w:gridCol w:w="3341"/>
        <w:gridCol w:w="5675"/>
      </w:tblGrid>
      <w:tr w:rsidR="00A0018C" w:rsidRPr="00F43B7E" w:rsidTr="00A453B4">
        <w:tc>
          <w:tcPr>
            <w:tcW w:w="4675" w:type="dxa"/>
            <w:tcBorders>
              <w:bottom w:val="nil"/>
            </w:tcBorders>
            <w:shd w:val="clear" w:color="auto" w:fill="70AD47" w:themeFill="accent6"/>
          </w:tcPr>
          <w:p w:rsidR="00A0018C" w:rsidRPr="00261914" w:rsidRDefault="00A0018C" w:rsidP="00261914">
            <w:pPr>
              <w:rPr>
                <w:rFonts w:ascii="Cambria" w:hAnsi="Cambria" w:cstheme="minorHAnsi"/>
                <w:b/>
              </w:rPr>
            </w:pPr>
            <w:r w:rsidRPr="00261914">
              <w:rPr>
                <w:rFonts w:ascii="Cambria" w:hAnsi="Cambria" w:cstheme="minorHAnsi"/>
                <w:b/>
              </w:rPr>
              <w:t xml:space="preserve">R4. Vertical Roadmap </w:t>
            </w:r>
          </w:p>
        </w:tc>
        <w:tc>
          <w:tcPr>
            <w:tcW w:w="4675" w:type="dxa"/>
            <w:vMerge w:val="restart"/>
            <w:tcBorders>
              <w:bottom w:val="nil"/>
            </w:tcBorders>
            <w:vAlign w:val="center"/>
          </w:tcPr>
          <w:p w:rsidR="00A0018C" w:rsidRPr="00F43B7E" w:rsidRDefault="00A0018C" w:rsidP="00A453B4">
            <w:pPr>
              <w:jc w:val="center"/>
              <w:rPr>
                <w:rFonts w:cstheme="minorHAnsi"/>
              </w:rPr>
            </w:pPr>
            <w:r>
              <w:object w:dxaOrig="12435" w:dyaOrig="11535">
                <v:shape id="_x0000_i1047" type="#_x0000_t75" style="width:272.95pt;height:253.75pt" o:ole="">
                  <v:imagedata r:id="rId143" o:title=""/>
                </v:shape>
                <o:OLEObject Type="Embed" ProgID="PBrush" ShapeID="_x0000_i1047" DrawAspect="Content" ObjectID="_1591864475" r:id="rId144"/>
              </w:object>
            </w:r>
          </w:p>
        </w:tc>
      </w:tr>
      <w:tr w:rsidR="00A0018C" w:rsidRPr="00F43B7E" w:rsidTr="00A453B4">
        <w:trPr>
          <w:trHeight w:val="4105"/>
        </w:trPr>
        <w:tc>
          <w:tcPr>
            <w:tcW w:w="4675" w:type="dxa"/>
            <w:vMerge w:val="restart"/>
            <w:tcBorders>
              <w:top w:val="nil"/>
            </w:tcBorders>
          </w:tcPr>
          <w:p w:rsidR="00A0018C" w:rsidRPr="00261914" w:rsidRDefault="00A0018C" w:rsidP="00261914">
            <w:pPr>
              <w:spacing w:before="120"/>
              <w:rPr>
                <w:rFonts w:ascii="Cambria" w:eastAsiaTheme="majorEastAsia" w:hAnsi="Cambria" w:cstheme="minorHAnsi"/>
                <w:spacing w:val="-10"/>
                <w:kern w:val="28"/>
              </w:rPr>
            </w:pPr>
            <w:r w:rsidRPr="00261914">
              <w:rPr>
                <w:rFonts w:ascii="Cambria" w:eastAsiaTheme="majorEastAsia" w:hAnsi="Cambria" w:cstheme="minorHAnsi"/>
                <w:spacing w:val="-10"/>
                <w:kern w:val="28"/>
              </w:rPr>
              <w:t>Vertical roadmap proposes a five-stage process for designing innovative investment projects per niche industry market. These include actions, such as: mapping sectoral and regional strengths, identification of actors per sector of interest, actors’ engagement, collaborative project design, monitoring and assess.</w:t>
            </w:r>
          </w:p>
          <w:p w:rsidR="00A0018C" w:rsidRPr="00261914" w:rsidRDefault="00A0018C" w:rsidP="00261914">
            <w:pPr>
              <w:spacing w:before="120"/>
              <w:rPr>
                <w:rFonts w:ascii="Cambria" w:eastAsiaTheme="majorEastAsia" w:hAnsi="Cambria" w:cstheme="minorHAnsi"/>
                <w:spacing w:val="-10"/>
                <w:kern w:val="28"/>
              </w:rPr>
            </w:pPr>
            <w:r w:rsidRPr="00261914">
              <w:rPr>
                <w:rFonts w:ascii="Cambria" w:eastAsiaTheme="majorEastAsia" w:hAnsi="Cambria" w:cstheme="minorHAnsi"/>
                <w:spacing w:val="-10"/>
                <w:kern w:val="28"/>
              </w:rPr>
              <w:t>We propose a five-stage process for designing innovative investment projects per niche industry market, such as:</w:t>
            </w:r>
          </w:p>
          <w:p w:rsidR="00A0018C" w:rsidRPr="00261914" w:rsidRDefault="00A0018C" w:rsidP="00261914">
            <w:pPr>
              <w:pStyle w:val="ListParagraph"/>
              <w:numPr>
                <w:ilvl w:val="0"/>
                <w:numId w:val="26"/>
              </w:numPr>
              <w:spacing w:before="120"/>
              <w:contextualSpacing/>
              <w:rPr>
                <w:rFonts w:ascii="Cambria" w:eastAsiaTheme="majorEastAsia" w:hAnsi="Cambria" w:cstheme="minorHAnsi"/>
                <w:spacing w:val="-10"/>
                <w:kern w:val="28"/>
              </w:rPr>
            </w:pPr>
            <w:r w:rsidRPr="00261914">
              <w:rPr>
                <w:rFonts w:ascii="Cambria" w:eastAsiaTheme="majorEastAsia" w:hAnsi="Cambria" w:cstheme="minorHAnsi"/>
                <w:spacing w:val="-10"/>
                <w:kern w:val="28"/>
              </w:rPr>
              <w:t>mapping sectoral and regional strengths</w:t>
            </w:r>
          </w:p>
          <w:p w:rsidR="00A0018C" w:rsidRPr="00261914" w:rsidRDefault="00A0018C" w:rsidP="00261914">
            <w:pPr>
              <w:pStyle w:val="ListParagraph"/>
              <w:numPr>
                <w:ilvl w:val="0"/>
                <w:numId w:val="26"/>
              </w:numPr>
              <w:spacing w:before="120"/>
              <w:contextualSpacing/>
              <w:rPr>
                <w:rFonts w:ascii="Cambria" w:eastAsiaTheme="majorEastAsia" w:hAnsi="Cambria" w:cstheme="minorHAnsi"/>
                <w:spacing w:val="-10"/>
                <w:kern w:val="28"/>
              </w:rPr>
            </w:pPr>
            <w:r w:rsidRPr="00261914">
              <w:rPr>
                <w:rFonts w:ascii="Cambria" w:eastAsiaTheme="majorEastAsia" w:hAnsi="Cambria" w:cstheme="minorHAnsi"/>
                <w:spacing w:val="-10"/>
                <w:kern w:val="28"/>
              </w:rPr>
              <w:t>identification of actors per sector of interest</w:t>
            </w:r>
          </w:p>
          <w:p w:rsidR="00A0018C" w:rsidRPr="00261914" w:rsidRDefault="00A0018C" w:rsidP="00261914">
            <w:pPr>
              <w:pStyle w:val="ListParagraph"/>
              <w:numPr>
                <w:ilvl w:val="0"/>
                <w:numId w:val="26"/>
              </w:numPr>
              <w:spacing w:before="120"/>
              <w:contextualSpacing/>
              <w:rPr>
                <w:rFonts w:ascii="Cambria" w:eastAsiaTheme="majorEastAsia" w:hAnsi="Cambria" w:cstheme="minorHAnsi"/>
                <w:spacing w:val="-10"/>
                <w:kern w:val="28"/>
              </w:rPr>
            </w:pPr>
            <w:r w:rsidRPr="00261914">
              <w:rPr>
                <w:rFonts w:ascii="Cambria" w:eastAsiaTheme="majorEastAsia" w:hAnsi="Cambria" w:cstheme="minorHAnsi"/>
                <w:spacing w:val="-10"/>
                <w:kern w:val="28"/>
              </w:rPr>
              <w:t>actors’ engagement</w:t>
            </w:r>
          </w:p>
          <w:p w:rsidR="00A0018C" w:rsidRPr="00261914" w:rsidRDefault="00A0018C" w:rsidP="00261914">
            <w:pPr>
              <w:pStyle w:val="ListParagraph"/>
              <w:numPr>
                <w:ilvl w:val="0"/>
                <w:numId w:val="26"/>
              </w:numPr>
              <w:spacing w:before="120"/>
              <w:contextualSpacing/>
              <w:rPr>
                <w:rFonts w:ascii="Cambria" w:eastAsiaTheme="majorEastAsia" w:hAnsi="Cambria" w:cstheme="minorHAnsi"/>
                <w:spacing w:val="-10"/>
                <w:kern w:val="28"/>
              </w:rPr>
            </w:pPr>
            <w:r w:rsidRPr="00261914">
              <w:rPr>
                <w:rFonts w:ascii="Cambria" w:eastAsiaTheme="majorEastAsia" w:hAnsi="Cambria" w:cstheme="minorHAnsi"/>
                <w:spacing w:val="-10"/>
                <w:kern w:val="28"/>
              </w:rPr>
              <w:t>collaborative project design</w:t>
            </w:r>
          </w:p>
          <w:p w:rsidR="00A0018C" w:rsidRPr="00261914" w:rsidRDefault="00A0018C" w:rsidP="00261914">
            <w:pPr>
              <w:pStyle w:val="ListParagraph"/>
              <w:numPr>
                <w:ilvl w:val="0"/>
                <w:numId w:val="26"/>
              </w:numPr>
              <w:spacing w:before="120"/>
              <w:contextualSpacing/>
              <w:rPr>
                <w:rFonts w:ascii="Cambria" w:eastAsiaTheme="majorEastAsia" w:hAnsi="Cambria" w:cstheme="minorHAnsi"/>
                <w:spacing w:val="-10"/>
                <w:kern w:val="28"/>
              </w:rPr>
            </w:pPr>
            <w:r w:rsidRPr="00261914">
              <w:rPr>
                <w:rFonts w:ascii="Cambria" w:eastAsiaTheme="majorEastAsia" w:hAnsi="Cambria" w:cstheme="minorHAnsi"/>
                <w:spacing w:val="-10"/>
                <w:kern w:val="28"/>
              </w:rPr>
              <w:t>monitoring and assess</w:t>
            </w:r>
          </w:p>
        </w:tc>
        <w:tc>
          <w:tcPr>
            <w:tcW w:w="4675" w:type="dxa"/>
            <w:vMerge/>
            <w:tcBorders>
              <w:bottom w:val="nil"/>
            </w:tcBorders>
          </w:tcPr>
          <w:p w:rsidR="00A0018C" w:rsidRPr="00F43B7E" w:rsidRDefault="00A0018C" w:rsidP="00A453B4">
            <w:pPr>
              <w:rPr>
                <w:rFonts w:cstheme="minorHAnsi"/>
              </w:rPr>
            </w:pPr>
          </w:p>
        </w:tc>
      </w:tr>
      <w:tr w:rsidR="00A0018C" w:rsidRPr="00F43B7E" w:rsidTr="00A453B4">
        <w:trPr>
          <w:trHeight w:val="564"/>
        </w:trPr>
        <w:tc>
          <w:tcPr>
            <w:tcW w:w="4675" w:type="dxa"/>
            <w:vMerge/>
          </w:tcPr>
          <w:p w:rsidR="00A0018C" w:rsidRPr="00F43B7E" w:rsidRDefault="00A0018C" w:rsidP="00A453B4">
            <w:pPr>
              <w:rPr>
                <w:rFonts w:cstheme="minorHAnsi"/>
              </w:rPr>
            </w:pPr>
          </w:p>
        </w:tc>
        <w:tc>
          <w:tcPr>
            <w:tcW w:w="4675" w:type="dxa"/>
            <w:tcBorders>
              <w:top w:val="nil"/>
            </w:tcBorders>
            <w:vAlign w:val="center"/>
          </w:tcPr>
          <w:p w:rsidR="00A0018C" w:rsidRPr="00F43B7E" w:rsidRDefault="00A0018C" w:rsidP="00A453B4">
            <w:pPr>
              <w:rPr>
                <w:rFonts w:cstheme="minorHAnsi"/>
              </w:rPr>
            </w:pPr>
            <w:r w:rsidRPr="00F43B7E">
              <w:rPr>
                <w:rFonts w:cstheme="minorHAnsi"/>
                <w:b/>
              </w:rPr>
              <w:t>Link:</w:t>
            </w:r>
            <w:r>
              <w:rPr>
                <w:rFonts w:cstheme="minorHAnsi"/>
              </w:rPr>
              <w:t xml:space="preserve"> </w:t>
            </w:r>
            <w:hyperlink r:id="rId145" w:history="1">
              <w:r w:rsidRPr="00F644F2">
                <w:rPr>
                  <w:rStyle w:val="Hyperlink"/>
                  <w:rFonts w:cstheme="minorHAnsi"/>
                </w:rPr>
                <w:t>http://www.s3platform.eu/vertical/</w:t>
              </w:r>
            </w:hyperlink>
            <w:r>
              <w:rPr>
                <w:rFonts w:cstheme="minorHAnsi"/>
              </w:rPr>
              <w:t xml:space="preserve"> </w:t>
            </w:r>
          </w:p>
        </w:tc>
      </w:tr>
    </w:tbl>
    <w:p w:rsidR="00A0018C" w:rsidRDefault="00A0018C" w:rsidP="00A0018C"/>
    <w:p w:rsidR="00A0018C" w:rsidRPr="00507656" w:rsidRDefault="00A0018C" w:rsidP="00507656">
      <w:pPr>
        <w:rPr>
          <w:rFonts w:cs="Calibri"/>
        </w:rPr>
      </w:pPr>
    </w:p>
    <w:sectPr w:rsidR="00A0018C" w:rsidRPr="00507656" w:rsidSect="00092A64">
      <w:headerReference w:type="default" r:id="rId146"/>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A1F7C" w:rsidRDefault="00DA1F7C" w:rsidP="002B0FCB">
      <w:pPr>
        <w:spacing w:after="0" w:line="240" w:lineRule="auto"/>
      </w:pPr>
      <w:r>
        <w:separator/>
      </w:r>
    </w:p>
  </w:endnote>
  <w:endnote w:type="continuationSeparator" w:id="0">
    <w:p w:rsidR="00DA1F7C" w:rsidRDefault="00DA1F7C" w:rsidP="002B0F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3"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2AFF" w:usb1="4000ACFF" w:usb2="00000001" w:usb3="00000000" w:csb0="000001FF" w:csb1="00000000"/>
  </w:font>
  <w:font w:name="Calibri Light">
    <w:panose1 w:val="020F0302020204030204"/>
    <w:charset w:val="A1"/>
    <w:family w:val="swiss"/>
    <w:pitch w:val="variable"/>
    <w:sig w:usb0="A0002AEF" w:usb1="4000207B" w:usb2="00000000" w:usb3="00000000" w:csb0="000001FF" w:csb1="00000000"/>
  </w:font>
  <w:font w:name="Segoe UI">
    <w:panose1 w:val="020B0502040204020203"/>
    <w:charset w:val="A1"/>
    <w:family w:val="swiss"/>
    <w:pitch w:val="variable"/>
    <w:sig w:usb0="E4002EFF" w:usb1="C000E47F" w:usb2="00000009" w:usb3="00000000" w:csb0="000001FF" w:csb1="00000000"/>
  </w:font>
  <w:font w:name="Cambria">
    <w:panose1 w:val="02040503050406030204"/>
    <w:charset w:val="A1"/>
    <w:family w:val="roman"/>
    <w:pitch w:val="variable"/>
    <w:sig w:usb0="E00006FF" w:usb1="420024FF" w:usb2="02000000" w:usb3="00000000" w:csb0="0000019F" w:csb1="00000000"/>
  </w:font>
  <w:font w:name="TimesNewRomanPSMT">
    <w:altName w:val="Calibri"/>
    <w:panose1 w:val="00000000000000000000"/>
    <w:charset w:val="A1"/>
    <w:family w:val="auto"/>
    <w:notTrueType/>
    <w:pitch w:val="default"/>
    <w:sig w:usb0="00000081" w:usb1="00000000" w:usb2="00000000" w:usb3="00000000" w:csb0="00000008" w:csb1="00000000"/>
  </w:font>
  <w:font w:name="Arial">
    <w:panose1 w:val="020B0604020202020204"/>
    <w:charset w:val="A1"/>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A1F7C" w:rsidRDefault="00DA1F7C" w:rsidP="002B0FCB">
      <w:pPr>
        <w:spacing w:after="0" w:line="240" w:lineRule="auto"/>
      </w:pPr>
      <w:r>
        <w:separator/>
      </w:r>
    </w:p>
  </w:footnote>
  <w:footnote w:type="continuationSeparator" w:id="0">
    <w:p w:rsidR="00DA1F7C" w:rsidRDefault="00DA1F7C" w:rsidP="002B0FCB">
      <w:pPr>
        <w:spacing w:after="0" w:line="240" w:lineRule="auto"/>
      </w:pPr>
      <w:r>
        <w:continuationSeparator/>
      </w:r>
    </w:p>
  </w:footnote>
  <w:footnote w:id="1">
    <w:p w:rsidR="00A453B4" w:rsidRPr="00714593" w:rsidRDefault="00A453B4" w:rsidP="00EE3E92">
      <w:pPr>
        <w:pStyle w:val="FootnoteText"/>
        <w:rPr>
          <w:rFonts w:ascii="Cambria" w:hAnsi="Cambria"/>
        </w:rPr>
      </w:pPr>
      <w:r w:rsidRPr="00714593">
        <w:rPr>
          <w:rStyle w:val="FootnoteReference"/>
          <w:rFonts w:ascii="Cambria" w:hAnsi="Cambria"/>
        </w:rPr>
        <w:footnoteRef/>
      </w:r>
      <w:r w:rsidRPr="00714593">
        <w:rPr>
          <w:rFonts w:ascii="Cambria" w:hAnsi="Cambria"/>
        </w:rPr>
        <w:t xml:space="preserve"> The European Commission (2018b) defines social innovations as ' new ideas that meet social needs, create social relationships and form new collaborations. These innovations can be products, services or models addressing unmet needs more effectively.'</w:t>
      </w:r>
    </w:p>
  </w:footnote>
  <w:footnote w:id="2">
    <w:p w:rsidR="00A453B4" w:rsidRPr="00714593" w:rsidRDefault="00A453B4" w:rsidP="00EE3E92">
      <w:pPr>
        <w:pStyle w:val="NormalWeb"/>
        <w:rPr>
          <w:rFonts w:ascii="Cambria" w:eastAsia="Times New Roman" w:hAnsi="Cambria" w:cstheme="minorHAnsi"/>
          <w:sz w:val="20"/>
          <w:szCs w:val="20"/>
        </w:rPr>
      </w:pPr>
      <w:r w:rsidRPr="00714593">
        <w:rPr>
          <w:rStyle w:val="FootnoteReference"/>
          <w:rFonts w:ascii="Cambria" w:hAnsi="Cambria" w:cstheme="minorHAnsi"/>
          <w:sz w:val="20"/>
          <w:szCs w:val="20"/>
        </w:rPr>
        <w:footnoteRef/>
      </w:r>
      <w:r w:rsidRPr="00714593">
        <w:rPr>
          <w:rFonts w:ascii="Cambria" w:hAnsi="Cambria" w:cstheme="minorHAnsi"/>
          <w:sz w:val="20"/>
          <w:szCs w:val="20"/>
        </w:rPr>
        <w:t xml:space="preserve"> Mazzucato (2018: 4) defines them as ' </w:t>
      </w:r>
      <w:r w:rsidRPr="00714593">
        <w:rPr>
          <w:rFonts w:ascii="Cambria" w:eastAsia="Times New Roman" w:hAnsi="Cambria" w:cstheme="minorHAnsi"/>
          <w:sz w:val="20"/>
          <w:szCs w:val="20"/>
        </w:rPr>
        <w:t>systemic public policies that draw on frontier knowledge to attain specific goals</w:t>
      </w:r>
      <w:r w:rsidRPr="00714593">
        <w:rPr>
          <w:rFonts w:ascii="Cambria" w:hAnsi="Cambria" w:cstheme="minorHAnsi"/>
          <w:sz w:val="20"/>
          <w:szCs w:val="20"/>
        </w:rPr>
        <w:t>'.</w:t>
      </w:r>
    </w:p>
  </w:footnote>
  <w:footnote w:id="3">
    <w:p w:rsidR="00A453B4" w:rsidRPr="001F1E64" w:rsidRDefault="00A453B4" w:rsidP="00EE3E92">
      <w:pPr>
        <w:pStyle w:val="FootnoteText"/>
        <w:rPr>
          <w:lang w:val="hr-HR"/>
        </w:rPr>
      </w:pPr>
      <w:r w:rsidRPr="00714593">
        <w:rPr>
          <w:rStyle w:val="FootnoteReference"/>
          <w:rFonts w:ascii="Cambria" w:hAnsi="Cambria"/>
        </w:rPr>
        <w:footnoteRef/>
      </w:r>
      <w:r w:rsidRPr="00714593">
        <w:rPr>
          <w:rFonts w:ascii="Cambria" w:hAnsi="Cambria"/>
        </w:rPr>
        <w:t xml:space="preserve"> Eurostat provides data on digitalisation (</w:t>
      </w:r>
      <w:hyperlink r:id="rId1" w:history="1">
        <w:r w:rsidRPr="00714593">
          <w:rPr>
            <w:rStyle w:val="Hyperlink"/>
            <w:rFonts w:ascii="Cambria" w:hAnsi="Cambria"/>
          </w:rPr>
          <w:t>http://ec.europa.eu/eurostat/web/digital-economy-and-society/data/main-tables</w:t>
        </w:r>
      </w:hyperlink>
      <w:r w:rsidRPr="00714593">
        <w:rPr>
          <w:rFonts w:ascii="Cambria" w:hAnsi="Cambria"/>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1115309"/>
      <w:docPartObj>
        <w:docPartGallery w:val="Page Numbers (Margins)"/>
        <w:docPartUnique/>
      </w:docPartObj>
    </w:sdtPr>
    <w:sdtEndPr/>
    <w:sdtContent>
      <w:p w:rsidR="00A453B4" w:rsidRDefault="00A453B4">
        <w:pPr>
          <w:pStyle w:val="Header"/>
        </w:pPr>
        <w:r>
          <w:rPr>
            <w:noProof/>
          </w:rPr>
          <mc:AlternateContent>
            <mc:Choice Requires="wps">
              <w:drawing>
                <wp:anchor distT="0" distB="0" distL="114300" distR="114300" simplePos="0" relativeHeight="251659264" behindDoc="0" locked="0" layoutInCell="0" allowOverlap="1">
                  <wp:simplePos x="0" y="0"/>
                  <wp:positionH relativeFrom="rightMargin">
                    <wp:align>center</wp:align>
                  </wp:positionH>
                  <wp:positionV relativeFrom="margin">
                    <wp:align>bottom</wp:align>
                  </wp:positionV>
                  <wp:extent cx="510540" cy="2183130"/>
                  <wp:effectExtent l="0" t="0" r="3810"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53B4" w:rsidRDefault="00A453B4">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sidR="006F5948" w:rsidRPr="006F5948">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8" o:spid="_x0000_s1027" style="position:absolute;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Ck0W9n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453B4" w:rsidRDefault="00A453B4">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sidR="006F5948" w:rsidRPr="006F5948">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7C312B"/>
    <w:multiLevelType w:val="hybridMultilevel"/>
    <w:tmpl w:val="D5C6B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4F70DD"/>
    <w:multiLevelType w:val="hybridMultilevel"/>
    <w:tmpl w:val="5C8E4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0F4F49"/>
    <w:multiLevelType w:val="hybridMultilevel"/>
    <w:tmpl w:val="C46A8E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A6A68D6"/>
    <w:multiLevelType w:val="hybridMultilevel"/>
    <w:tmpl w:val="4A3A26D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BD9605E"/>
    <w:multiLevelType w:val="multilevel"/>
    <w:tmpl w:val="85F465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0F56387"/>
    <w:multiLevelType w:val="hybridMultilevel"/>
    <w:tmpl w:val="1BE6C102"/>
    <w:lvl w:ilvl="0" w:tplc="602E187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446428"/>
    <w:multiLevelType w:val="hybridMultilevel"/>
    <w:tmpl w:val="532E91B2"/>
    <w:lvl w:ilvl="0" w:tplc="0C070011">
      <w:start w:val="1"/>
      <w:numFmt w:val="decimal"/>
      <w:lvlText w:val="%1)"/>
      <w:lvlJc w:val="left"/>
      <w:pPr>
        <w:ind w:left="720" w:hanging="360"/>
      </w:pPr>
    </w:lvl>
    <w:lvl w:ilvl="1" w:tplc="0C070019">
      <w:start w:val="1"/>
      <w:numFmt w:val="lowerLetter"/>
      <w:lvlText w:val="%2."/>
      <w:lvlJc w:val="left"/>
      <w:pPr>
        <w:ind w:left="1440" w:hanging="360"/>
      </w:pPr>
    </w:lvl>
    <w:lvl w:ilvl="2" w:tplc="0C07001B">
      <w:start w:val="1"/>
      <w:numFmt w:val="lowerRoman"/>
      <w:lvlText w:val="%3."/>
      <w:lvlJc w:val="right"/>
      <w:pPr>
        <w:ind w:left="2160" w:hanging="180"/>
      </w:pPr>
    </w:lvl>
    <w:lvl w:ilvl="3" w:tplc="0C07000F">
      <w:start w:val="1"/>
      <w:numFmt w:val="decimal"/>
      <w:lvlText w:val="%4."/>
      <w:lvlJc w:val="left"/>
      <w:pPr>
        <w:ind w:left="2880" w:hanging="360"/>
      </w:pPr>
    </w:lvl>
    <w:lvl w:ilvl="4" w:tplc="0C070019">
      <w:start w:val="1"/>
      <w:numFmt w:val="lowerLetter"/>
      <w:lvlText w:val="%5."/>
      <w:lvlJc w:val="left"/>
      <w:pPr>
        <w:ind w:left="3600" w:hanging="360"/>
      </w:pPr>
    </w:lvl>
    <w:lvl w:ilvl="5" w:tplc="0C07001B">
      <w:start w:val="1"/>
      <w:numFmt w:val="lowerRoman"/>
      <w:lvlText w:val="%6."/>
      <w:lvlJc w:val="right"/>
      <w:pPr>
        <w:ind w:left="4320" w:hanging="180"/>
      </w:pPr>
    </w:lvl>
    <w:lvl w:ilvl="6" w:tplc="0C07000F">
      <w:start w:val="1"/>
      <w:numFmt w:val="decimal"/>
      <w:lvlText w:val="%7."/>
      <w:lvlJc w:val="left"/>
      <w:pPr>
        <w:ind w:left="5040" w:hanging="360"/>
      </w:pPr>
    </w:lvl>
    <w:lvl w:ilvl="7" w:tplc="0C070019">
      <w:start w:val="1"/>
      <w:numFmt w:val="lowerLetter"/>
      <w:lvlText w:val="%8."/>
      <w:lvlJc w:val="left"/>
      <w:pPr>
        <w:ind w:left="5760" w:hanging="360"/>
      </w:pPr>
    </w:lvl>
    <w:lvl w:ilvl="8" w:tplc="0C07001B">
      <w:start w:val="1"/>
      <w:numFmt w:val="lowerRoman"/>
      <w:lvlText w:val="%9."/>
      <w:lvlJc w:val="right"/>
      <w:pPr>
        <w:ind w:left="6480" w:hanging="180"/>
      </w:pPr>
    </w:lvl>
  </w:abstractNum>
  <w:abstractNum w:abstractNumId="7" w15:restartNumberingAfterBreak="0">
    <w:nsid w:val="37421C63"/>
    <w:multiLevelType w:val="multilevel"/>
    <w:tmpl w:val="80CE0190"/>
    <w:lvl w:ilvl="0">
      <w:start w:val="3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F932E16"/>
    <w:multiLevelType w:val="hybridMultilevel"/>
    <w:tmpl w:val="8E0AA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AC4F7B"/>
    <w:multiLevelType w:val="hybridMultilevel"/>
    <w:tmpl w:val="C3A4F2F8"/>
    <w:lvl w:ilvl="0" w:tplc="04090001">
      <w:start w:val="1"/>
      <w:numFmt w:val="bullet"/>
      <w:lvlText w:val=""/>
      <w:lvlJc w:val="left"/>
      <w:pPr>
        <w:ind w:left="720" w:hanging="360"/>
      </w:pPr>
      <w:rPr>
        <w:rFonts w:ascii="Symbol" w:hAnsi="Symbol" w:hint="default"/>
      </w:rPr>
    </w:lvl>
    <w:lvl w:ilvl="1" w:tplc="0C070019">
      <w:start w:val="1"/>
      <w:numFmt w:val="lowerLetter"/>
      <w:lvlText w:val="%2."/>
      <w:lvlJc w:val="left"/>
      <w:pPr>
        <w:ind w:left="1440" w:hanging="360"/>
      </w:pPr>
    </w:lvl>
    <w:lvl w:ilvl="2" w:tplc="0C07001B">
      <w:start w:val="1"/>
      <w:numFmt w:val="lowerRoman"/>
      <w:lvlText w:val="%3."/>
      <w:lvlJc w:val="right"/>
      <w:pPr>
        <w:ind w:left="2160" w:hanging="180"/>
      </w:pPr>
    </w:lvl>
    <w:lvl w:ilvl="3" w:tplc="0C07000F">
      <w:start w:val="1"/>
      <w:numFmt w:val="decimal"/>
      <w:lvlText w:val="%4."/>
      <w:lvlJc w:val="left"/>
      <w:pPr>
        <w:ind w:left="2880" w:hanging="360"/>
      </w:pPr>
    </w:lvl>
    <w:lvl w:ilvl="4" w:tplc="0C070019">
      <w:start w:val="1"/>
      <w:numFmt w:val="lowerLetter"/>
      <w:lvlText w:val="%5."/>
      <w:lvlJc w:val="left"/>
      <w:pPr>
        <w:ind w:left="3600" w:hanging="360"/>
      </w:pPr>
    </w:lvl>
    <w:lvl w:ilvl="5" w:tplc="0C07001B">
      <w:start w:val="1"/>
      <w:numFmt w:val="lowerRoman"/>
      <w:lvlText w:val="%6."/>
      <w:lvlJc w:val="right"/>
      <w:pPr>
        <w:ind w:left="4320" w:hanging="180"/>
      </w:pPr>
    </w:lvl>
    <w:lvl w:ilvl="6" w:tplc="0C07000F">
      <w:start w:val="1"/>
      <w:numFmt w:val="decimal"/>
      <w:lvlText w:val="%7."/>
      <w:lvlJc w:val="left"/>
      <w:pPr>
        <w:ind w:left="5040" w:hanging="360"/>
      </w:pPr>
    </w:lvl>
    <w:lvl w:ilvl="7" w:tplc="0C070019">
      <w:start w:val="1"/>
      <w:numFmt w:val="lowerLetter"/>
      <w:lvlText w:val="%8."/>
      <w:lvlJc w:val="left"/>
      <w:pPr>
        <w:ind w:left="5760" w:hanging="360"/>
      </w:pPr>
    </w:lvl>
    <w:lvl w:ilvl="8" w:tplc="0C07001B">
      <w:start w:val="1"/>
      <w:numFmt w:val="lowerRoman"/>
      <w:lvlText w:val="%9."/>
      <w:lvlJc w:val="right"/>
      <w:pPr>
        <w:ind w:left="6480" w:hanging="180"/>
      </w:pPr>
    </w:lvl>
  </w:abstractNum>
  <w:abstractNum w:abstractNumId="10" w15:restartNumberingAfterBreak="0">
    <w:nsid w:val="484D6F75"/>
    <w:multiLevelType w:val="hybridMultilevel"/>
    <w:tmpl w:val="6504B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B31588"/>
    <w:multiLevelType w:val="hybridMultilevel"/>
    <w:tmpl w:val="50D2D8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A555547"/>
    <w:multiLevelType w:val="hybridMultilevel"/>
    <w:tmpl w:val="4F9ED3FA"/>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 w15:restartNumberingAfterBreak="0">
    <w:nsid w:val="4E9C6F39"/>
    <w:multiLevelType w:val="hybridMultilevel"/>
    <w:tmpl w:val="AB1CD9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26C4AFF"/>
    <w:multiLevelType w:val="hybridMultilevel"/>
    <w:tmpl w:val="9FA6357E"/>
    <w:lvl w:ilvl="0" w:tplc="AE0ED30A">
      <w:start w:val="1"/>
      <w:numFmt w:val="bullet"/>
      <w:lvlText w:val=""/>
      <w:lvlJc w:val="left"/>
      <w:pPr>
        <w:ind w:left="720" w:hanging="360"/>
      </w:pPr>
      <w:rPr>
        <w:rFonts w:ascii="Symbol" w:hAnsi="Symbol" w:hint="default"/>
        <w:lang w:val="en-G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4976A3A"/>
    <w:multiLevelType w:val="hybridMultilevel"/>
    <w:tmpl w:val="008E8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E791521"/>
    <w:multiLevelType w:val="hybridMultilevel"/>
    <w:tmpl w:val="9B7082D8"/>
    <w:lvl w:ilvl="0" w:tplc="0C070011">
      <w:start w:val="1"/>
      <w:numFmt w:val="decimal"/>
      <w:lvlText w:val="%1)"/>
      <w:lvlJc w:val="left"/>
      <w:pPr>
        <w:ind w:left="720" w:hanging="360"/>
      </w:pPr>
    </w:lvl>
    <w:lvl w:ilvl="1" w:tplc="0C070019">
      <w:start w:val="1"/>
      <w:numFmt w:val="lowerLetter"/>
      <w:lvlText w:val="%2."/>
      <w:lvlJc w:val="left"/>
      <w:pPr>
        <w:ind w:left="1440" w:hanging="360"/>
      </w:pPr>
    </w:lvl>
    <w:lvl w:ilvl="2" w:tplc="0C07001B">
      <w:start w:val="1"/>
      <w:numFmt w:val="lowerRoman"/>
      <w:lvlText w:val="%3."/>
      <w:lvlJc w:val="right"/>
      <w:pPr>
        <w:ind w:left="2160" w:hanging="180"/>
      </w:pPr>
    </w:lvl>
    <w:lvl w:ilvl="3" w:tplc="0C07000F">
      <w:start w:val="1"/>
      <w:numFmt w:val="decimal"/>
      <w:lvlText w:val="%4."/>
      <w:lvlJc w:val="left"/>
      <w:pPr>
        <w:ind w:left="2880" w:hanging="360"/>
      </w:pPr>
    </w:lvl>
    <w:lvl w:ilvl="4" w:tplc="0C070019">
      <w:start w:val="1"/>
      <w:numFmt w:val="lowerLetter"/>
      <w:lvlText w:val="%5."/>
      <w:lvlJc w:val="left"/>
      <w:pPr>
        <w:ind w:left="3600" w:hanging="360"/>
      </w:pPr>
    </w:lvl>
    <w:lvl w:ilvl="5" w:tplc="0C07001B">
      <w:start w:val="1"/>
      <w:numFmt w:val="lowerRoman"/>
      <w:lvlText w:val="%6."/>
      <w:lvlJc w:val="right"/>
      <w:pPr>
        <w:ind w:left="4320" w:hanging="180"/>
      </w:pPr>
    </w:lvl>
    <w:lvl w:ilvl="6" w:tplc="0C07000F">
      <w:start w:val="1"/>
      <w:numFmt w:val="decimal"/>
      <w:lvlText w:val="%7."/>
      <w:lvlJc w:val="left"/>
      <w:pPr>
        <w:ind w:left="5040" w:hanging="360"/>
      </w:pPr>
    </w:lvl>
    <w:lvl w:ilvl="7" w:tplc="0C070019">
      <w:start w:val="1"/>
      <w:numFmt w:val="lowerLetter"/>
      <w:lvlText w:val="%8."/>
      <w:lvlJc w:val="left"/>
      <w:pPr>
        <w:ind w:left="5760" w:hanging="360"/>
      </w:pPr>
    </w:lvl>
    <w:lvl w:ilvl="8" w:tplc="0C07001B">
      <w:start w:val="1"/>
      <w:numFmt w:val="lowerRoman"/>
      <w:lvlText w:val="%9."/>
      <w:lvlJc w:val="right"/>
      <w:pPr>
        <w:ind w:left="6480" w:hanging="180"/>
      </w:pPr>
    </w:lvl>
  </w:abstractNum>
  <w:abstractNum w:abstractNumId="17" w15:restartNumberingAfterBreak="0">
    <w:nsid w:val="5E7A44D4"/>
    <w:multiLevelType w:val="hybridMultilevel"/>
    <w:tmpl w:val="847C1830"/>
    <w:lvl w:ilvl="0" w:tplc="FBFED496">
      <w:numFmt w:val="bullet"/>
      <w:lvlText w:val="-"/>
      <w:lvlJc w:val="left"/>
      <w:pPr>
        <w:ind w:left="360" w:hanging="360"/>
      </w:pPr>
      <w:rPr>
        <w:rFonts w:ascii="Calibri" w:eastAsiaTheme="maj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5FD82900"/>
    <w:multiLevelType w:val="hybridMultilevel"/>
    <w:tmpl w:val="61706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06B4279"/>
    <w:multiLevelType w:val="hybridMultilevel"/>
    <w:tmpl w:val="DA14B6AC"/>
    <w:lvl w:ilvl="0" w:tplc="0C070011">
      <w:start w:val="1"/>
      <w:numFmt w:val="decimal"/>
      <w:lvlText w:val="%1)"/>
      <w:lvlJc w:val="left"/>
      <w:pPr>
        <w:ind w:left="720" w:hanging="360"/>
      </w:pPr>
    </w:lvl>
    <w:lvl w:ilvl="1" w:tplc="0C070019">
      <w:start w:val="1"/>
      <w:numFmt w:val="lowerLetter"/>
      <w:lvlText w:val="%2."/>
      <w:lvlJc w:val="left"/>
      <w:pPr>
        <w:ind w:left="1440" w:hanging="360"/>
      </w:pPr>
    </w:lvl>
    <w:lvl w:ilvl="2" w:tplc="0C07001B">
      <w:start w:val="1"/>
      <w:numFmt w:val="lowerRoman"/>
      <w:lvlText w:val="%3."/>
      <w:lvlJc w:val="right"/>
      <w:pPr>
        <w:ind w:left="2160" w:hanging="180"/>
      </w:pPr>
    </w:lvl>
    <w:lvl w:ilvl="3" w:tplc="0C07000F">
      <w:start w:val="1"/>
      <w:numFmt w:val="decimal"/>
      <w:lvlText w:val="%4."/>
      <w:lvlJc w:val="left"/>
      <w:pPr>
        <w:ind w:left="2880" w:hanging="360"/>
      </w:pPr>
    </w:lvl>
    <w:lvl w:ilvl="4" w:tplc="0C070019">
      <w:start w:val="1"/>
      <w:numFmt w:val="lowerLetter"/>
      <w:lvlText w:val="%5."/>
      <w:lvlJc w:val="left"/>
      <w:pPr>
        <w:ind w:left="3600" w:hanging="360"/>
      </w:pPr>
    </w:lvl>
    <w:lvl w:ilvl="5" w:tplc="0C07001B">
      <w:start w:val="1"/>
      <w:numFmt w:val="lowerRoman"/>
      <w:lvlText w:val="%6."/>
      <w:lvlJc w:val="right"/>
      <w:pPr>
        <w:ind w:left="4320" w:hanging="180"/>
      </w:pPr>
    </w:lvl>
    <w:lvl w:ilvl="6" w:tplc="0C07000F">
      <w:start w:val="1"/>
      <w:numFmt w:val="decimal"/>
      <w:lvlText w:val="%7."/>
      <w:lvlJc w:val="left"/>
      <w:pPr>
        <w:ind w:left="5040" w:hanging="360"/>
      </w:pPr>
    </w:lvl>
    <w:lvl w:ilvl="7" w:tplc="0C070019">
      <w:start w:val="1"/>
      <w:numFmt w:val="lowerLetter"/>
      <w:lvlText w:val="%8."/>
      <w:lvlJc w:val="left"/>
      <w:pPr>
        <w:ind w:left="5760" w:hanging="360"/>
      </w:pPr>
    </w:lvl>
    <w:lvl w:ilvl="8" w:tplc="0C07001B">
      <w:start w:val="1"/>
      <w:numFmt w:val="lowerRoman"/>
      <w:lvlText w:val="%9."/>
      <w:lvlJc w:val="right"/>
      <w:pPr>
        <w:ind w:left="6480" w:hanging="180"/>
      </w:pPr>
    </w:lvl>
  </w:abstractNum>
  <w:abstractNum w:abstractNumId="20" w15:restartNumberingAfterBreak="0">
    <w:nsid w:val="63E21559"/>
    <w:multiLevelType w:val="hybridMultilevel"/>
    <w:tmpl w:val="5B842FDE"/>
    <w:lvl w:ilvl="0" w:tplc="FBFED496">
      <w:numFmt w:val="bullet"/>
      <w:lvlText w:val="-"/>
      <w:lvlJc w:val="left"/>
      <w:pPr>
        <w:ind w:left="360" w:hanging="360"/>
      </w:pPr>
      <w:rPr>
        <w:rFonts w:ascii="Calibri" w:eastAsiaTheme="maj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E701DFF"/>
    <w:multiLevelType w:val="hybridMultilevel"/>
    <w:tmpl w:val="DA326BF4"/>
    <w:lvl w:ilvl="0" w:tplc="04090001">
      <w:start w:val="1"/>
      <w:numFmt w:val="bullet"/>
      <w:lvlText w:val=""/>
      <w:lvlJc w:val="left"/>
      <w:pPr>
        <w:ind w:left="720" w:hanging="360"/>
      </w:pPr>
      <w:rPr>
        <w:rFonts w:ascii="Symbol" w:hAnsi="Symbol" w:hint="default"/>
      </w:rPr>
    </w:lvl>
    <w:lvl w:ilvl="1" w:tplc="0C070019">
      <w:start w:val="1"/>
      <w:numFmt w:val="lowerLetter"/>
      <w:lvlText w:val="%2."/>
      <w:lvlJc w:val="left"/>
      <w:pPr>
        <w:ind w:left="1440" w:hanging="360"/>
      </w:pPr>
    </w:lvl>
    <w:lvl w:ilvl="2" w:tplc="0C07001B">
      <w:start w:val="1"/>
      <w:numFmt w:val="lowerRoman"/>
      <w:lvlText w:val="%3."/>
      <w:lvlJc w:val="right"/>
      <w:pPr>
        <w:ind w:left="2160" w:hanging="180"/>
      </w:pPr>
    </w:lvl>
    <w:lvl w:ilvl="3" w:tplc="0C07000F">
      <w:start w:val="1"/>
      <w:numFmt w:val="decimal"/>
      <w:lvlText w:val="%4."/>
      <w:lvlJc w:val="left"/>
      <w:pPr>
        <w:ind w:left="2880" w:hanging="360"/>
      </w:pPr>
    </w:lvl>
    <w:lvl w:ilvl="4" w:tplc="0C070019">
      <w:start w:val="1"/>
      <w:numFmt w:val="lowerLetter"/>
      <w:lvlText w:val="%5."/>
      <w:lvlJc w:val="left"/>
      <w:pPr>
        <w:ind w:left="3600" w:hanging="360"/>
      </w:pPr>
    </w:lvl>
    <w:lvl w:ilvl="5" w:tplc="0C07001B">
      <w:start w:val="1"/>
      <w:numFmt w:val="lowerRoman"/>
      <w:lvlText w:val="%6."/>
      <w:lvlJc w:val="right"/>
      <w:pPr>
        <w:ind w:left="4320" w:hanging="180"/>
      </w:pPr>
    </w:lvl>
    <w:lvl w:ilvl="6" w:tplc="0C07000F">
      <w:start w:val="1"/>
      <w:numFmt w:val="decimal"/>
      <w:lvlText w:val="%7."/>
      <w:lvlJc w:val="left"/>
      <w:pPr>
        <w:ind w:left="5040" w:hanging="360"/>
      </w:pPr>
    </w:lvl>
    <w:lvl w:ilvl="7" w:tplc="0C070019">
      <w:start w:val="1"/>
      <w:numFmt w:val="lowerLetter"/>
      <w:lvlText w:val="%8."/>
      <w:lvlJc w:val="left"/>
      <w:pPr>
        <w:ind w:left="5760" w:hanging="360"/>
      </w:pPr>
    </w:lvl>
    <w:lvl w:ilvl="8" w:tplc="0C07001B">
      <w:start w:val="1"/>
      <w:numFmt w:val="lowerRoman"/>
      <w:lvlText w:val="%9."/>
      <w:lvlJc w:val="right"/>
      <w:pPr>
        <w:ind w:left="6480" w:hanging="180"/>
      </w:pPr>
    </w:lvl>
  </w:abstractNum>
  <w:abstractNum w:abstractNumId="22" w15:restartNumberingAfterBreak="0">
    <w:nsid w:val="75F16472"/>
    <w:multiLevelType w:val="hybridMultilevel"/>
    <w:tmpl w:val="5FC4570A"/>
    <w:lvl w:ilvl="0" w:tplc="0C07000F">
      <w:start w:val="1"/>
      <w:numFmt w:val="decimal"/>
      <w:lvlText w:val="%1."/>
      <w:lvlJc w:val="left"/>
      <w:pPr>
        <w:ind w:left="720" w:hanging="360"/>
      </w:pPr>
    </w:lvl>
    <w:lvl w:ilvl="1" w:tplc="0C070019">
      <w:start w:val="1"/>
      <w:numFmt w:val="lowerLetter"/>
      <w:lvlText w:val="%2."/>
      <w:lvlJc w:val="left"/>
      <w:pPr>
        <w:ind w:left="1440" w:hanging="360"/>
      </w:pPr>
    </w:lvl>
    <w:lvl w:ilvl="2" w:tplc="0C07001B">
      <w:start w:val="1"/>
      <w:numFmt w:val="lowerRoman"/>
      <w:lvlText w:val="%3."/>
      <w:lvlJc w:val="right"/>
      <w:pPr>
        <w:ind w:left="2160" w:hanging="180"/>
      </w:pPr>
    </w:lvl>
    <w:lvl w:ilvl="3" w:tplc="0C07000F">
      <w:start w:val="1"/>
      <w:numFmt w:val="decimal"/>
      <w:lvlText w:val="%4."/>
      <w:lvlJc w:val="left"/>
      <w:pPr>
        <w:ind w:left="2880" w:hanging="360"/>
      </w:pPr>
    </w:lvl>
    <w:lvl w:ilvl="4" w:tplc="0C070019">
      <w:start w:val="1"/>
      <w:numFmt w:val="lowerLetter"/>
      <w:lvlText w:val="%5."/>
      <w:lvlJc w:val="left"/>
      <w:pPr>
        <w:ind w:left="3600" w:hanging="360"/>
      </w:pPr>
    </w:lvl>
    <w:lvl w:ilvl="5" w:tplc="0C07001B">
      <w:start w:val="1"/>
      <w:numFmt w:val="lowerRoman"/>
      <w:lvlText w:val="%6."/>
      <w:lvlJc w:val="right"/>
      <w:pPr>
        <w:ind w:left="4320" w:hanging="180"/>
      </w:pPr>
    </w:lvl>
    <w:lvl w:ilvl="6" w:tplc="0C07000F">
      <w:start w:val="1"/>
      <w:numFmt w:val="decimal"/>
      <w:lvlText w:val="%7."/>
      <w:lvlJc w:val="left"/>
      <w:pPr>
        <w:ind w:left="5040" w:hanging="360"/>
      </w:pPr>
    </w:lvl>
    <w:lvl w:ilvl="7" w:tplc="0C070019">
      <w:start w:val="1"/>
      <w:numFmt w:val="lowerLetter"/>
      <w:lvlText w:val="%8."/>
      <w:lvlJc w:val="left"/>
      <w:pPr>
        <w:ind w:left="5760" w:hanging="360"/>
      </w:pPr>
    </w:lvl>
    <w:lvl w:ilvl="8" w:tplc="0C07001B">
      <w:start w:val="1"/>
      <w:numFmt w:val="lowerRoman"/>
      <w:lvlText w:val="%9."/>
      <w:lvlJc w:val="right"/>
      <w:pPr>
        <w:ind w:left="6480" w:hanging="180"/>
      </w:pPr>
    </w:lvl>
  </w:abstractNum>
  <w:abstractNum w:abstractNumId="23" w15:restartNumberingAfterBreak="0">
    <w:nsid w:val="78635152"/>
    <w:multiLevelType w:val="hybridMultilevel"/>
    <w:tmpl w:val="DE56021C"/>
    <w:lvl w:ilvl="0" w:tplc="747E7C5A">
      <w:start w:val="1"/>
      <w:numFmt w:val="decimal"/>
      <w:lvlText w:val="%1."/>
      <w:lvlJc w:val="left"/>
      <w:pPr>
        <w:ind w:left="720" w:hanging="360"/>
      </w:pPr>
      <w:rPr>
        <w:rFonts w:hint="default"/>
        <w:lang w:val="en-GB"/>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7BE37550"/>
    <w:multiLevelType w:val="multilevel"/>
    <w:tmpl w:val="7E5AA426"/>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14"/>
  </w:num>
  <w:num w:numId="4">
    <w:abstractNumId w:val="18"/>
  </w:num>
  <w:num w:numId="5">
    <w:abstractNumId w:val="10"/>
  </w:num>
  <w:num w:numId="6">
    <w:abstractNumId w:val="8"/>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5"/>
  </w:num>
  <w:num w:numId="12">
    <w:abstractNumId w:val="23"/>
  </w:num>
  <w:num w:numId="13">
    <w:abstractNumId w:val="12"/>
  </w:num>
  <w:num w:numId="14">
    <w:abstractNumId w:val="4"/>
  </w:num>
  <w:num w:numId="15">
    <w:abstractNumId w:val="24"/>
  </w:num>
  <w:num w:numId="16">
    <w:abstractNumId w:val="7"/>
  </w:num>
  <w:num w:numId="17">
    <w:abstractNumId w:val="0"/>
  </w:num>
  <w:num w:numId="18">
    <w:abstractNumId w:val="3"/>
  </w:num>
  <w:num w:numId="19">
    <w:abstractNumId w:val="2"/>
  </w:num>
  <w:num w:numId="20">
    <w:abstractNumId w:val="6"/>
  </w:num>
  <w:num w:numId="21">
    <w:abstractNumId w:val="9"/>
  </w:num>
  <w:num w:numId="22">
    <w:abstractNumId w:val="21"/>
  </w:num>
  <w:num w:numId="23">
    <w:abstractNumId w:val="1"/>
  </w:num>
  <w:num w:numId="24">
    <w:abstractNumId w:val="11"/>
  </w:num>
  <w:num w:numId="25">
    <w:abstractNumId w:val="17"/>
  </w:num>
  <w:num w:numId="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5B7F"/>
    <w:rsid w:val="000006E9"/>
    <w:rsid w:val="000105A2"/>
    <w:rsid w:val="00012994"/>
    <w:rsid w:val="00013392"/>
    <w:rsid w:val="000214F9"/>
    <w:rsid w:val="000265C0"/>
    <w:rsid w:val="0003223B"/>
    <w:rsid w:val="00041651"/>
    <w:rsid w:val="000631C6"/>
    <w:rsid w:val="00064947"/>
    <w:rsid w:val="00070F1F"/>
    <w:rsid w:val="00073F7B"/>
    <w:rsid w:val="00092A64"/>
    <w:rsid w:val="00095E26"/>
    <w:rsid w:val="000A2DD1"/>
    <w:rsid w:val="000B5E8F"/>
    <w:rsid w:val="000C2F07"/>
    <w:rsid w:val="000F6A80"/>
    <w:rsid w:val="0010600C"/>
    <w:rsid w:val="001113FB"/>
    <w:rsid w:val="001143BE"/>
    <w:rsid w:val="00117A38"/>
    <w:rsid w:val="00125B00"/>
    <w:rsid w:val="0013221A"/>
    <w:rsid w:val="00135A47"/>
    <w:rsid w:val="00140887"/>
    <w:rsid w:val="0014143F"/>
    <w:rsid w:val="001433AB"/>
    <w:rsid w:val="00161AC7"/>
    <w:rsid w:val="00163235"/>
    <w:rsid w:val="00172919"/>
    <w:rsid w:val="001757B0"/>
    <w:rsid w:val="00181574"/>
    <w:rsid w:val="001840F4"/>
    <w:rsid w:val="0019658C"/>
    <w:rsid w:val="001A6196"/>
    <w:rsid w:val="001B0883"/>
    <w:rsid w:val="001C39C0"/>
    <w:rsid w:val="001E7ABD"/>
    <w:rsid w:val="001F246E"/>
    <w:rsid w:val="00217309"/>
    <w:rsid w:val="0022629D"/>
    <w:rsid w:val="002308BC"/>
    <w:rsid w:val="002505AC"/>
    <w:rsid w:val="002613B6"/>
    <w:rsid w:val="00261914"/>
    <w:rsid w:val="002624A7"/>
    <w:rsid w:val="00295776"/>
    <w:rsid w:val="002A2818"/>
    <w:rsid w:val="002A301A"/>
    <w:rsid w:val="002A342C"/>
    <w:rsid w:val="002A388D"/>
    <w:rsid w:val="002A4CEA"/>
    <w:rsid w:val="002B0FCB"/>
    <w:rsid w:val="002C3DC9"/>
    <w:rsid w:val="002D0198"/>
    <w:rsid w:val="002D7701"/>
    <w:rsid w:val="002E3EA9"/>
    <w:rsid w:val="002E4E59"/>
    <w:rsid w:val="002F5BA2"/>
    <w:rsid w:val="002F76B2"/>
    <w:rsid w:val="00303E17"/>
    <w:rsid w:val="0030720F"/>
    <w:rsid w:val="003111B8"/>
    <w:rsid w:val="00323609"/>
    <w:rsid w:val="00326DA7"/>
    <w:rsid w:val="003418B6"/>
    <w:rsid w:val="00342761"/>
    <w:rsid w:val="00350AB9"/>
    <w:rsid w:val="00372DA3"/>
    <w:rsid w:val="003747C5"/>
    <w:rsid w:val="003811A3"/>
    <w:rsid w:val="00386B65"/>
    <w:rsid w:val="00387ECD"/>
    <w:rsid w:val="003906C5"/>
    <w:rsid w:val="003A4706"/>
    <w:rsid w:val="003A6E99"/>
    <w:rsid w:val="003B251E"/>
    <w:rsid w:val="003B4CF1"/>
    <w:rsid w:val="003C173F"/>
    <w:rsid w:val="003C2DBB"/>
    <w:rsid w:val="003D3FC2"/>
    <w:rsid w:val="003E1381"/>
    <w:rsid w:val="003E2AA6"/>
    <w:rsid w:val="003E6899"/>
    <w:rsid w:val="00406619"/>
    <w:rsid w:val="00417871"/>
    <w:rsid w:val="00436A4D"/>
    <w:rsid w:val="00445945"/>
    <w:rsid w:val="00493041"/>
    <w:rsid w:val="004A6B11"/>
    <w:rsid w:val="004B0DCD"/>
    <w:rsid w:val="004B663E"/>
    <w:rsid w:val="004B7F41"/>
    <w:rsid w:val="004C2D98"/>
    <w:rsid w:val="004D43E4"/>
    <w:rsid w:val="004F17AB"/>
    <w:rsid w:val="004F1D87"/>
    <w:rsid w:val="005066CF"/>
    <w:rsid w:val="00506EAA"/>
    <w:rsid w:val="00507656"/>
    <w:rsid w:val="005153AD"/>
    <w:rsid w:val="00516ABD"/>
    <w:rsid w:val="00531B3B"/>
    <w:rsid w:val="00551596"/>
    <w:rsid w:val="00552E0A"/>
    <w:rsid w:val="00561A15"/>
    <w:rsid w:val="00563A62"/>
    <w:rsid w:val="005640DA"/>
    <w:rsid w:val="00564EF5"/>
    <w:rsid w:val="0059485A"/>
    <w:rsid w:val="005B653A"/>
    <w:rsid w:val="005C0747"/>
    <w:rsid w:val="005C1728"/>
    <w:rsid w:val="005E4180"/>
    <w:rsid w:val="005E4E11"/>
    <w:rsid w:val="005F029D"/>
    <w:rsid w:val="005F5ABA"/>
    <w:rsid w:val="005F5B7F"/>
    <w:rsid w:val="00632E92"/>
    <w:rsid w:val="00637DC8"/>
    <w:rsid w:val="00642422"/>
    <w:rsid w:val="00646F2E"/>
    <w:rsid w:val="0065260B"/>
    <w:rsid w:val="006554D9"/>
    <w:rsid w:val="00667394"/>
    <w:rsid w:val="00685C06"/>
    <w:rsid w:val="006967CF"/>
    <w:rsid w:val="006A72C8"/>
    <w:rsid w:val="006B1563"/>
    <w:rsid w:val="006B7538"/>
    <w:rsid w:val="006C4226"/>
    <w:rsid w:val="006D34DE"/>
    <w:rsid w:val="006E05FF"/>
    <w:rsid w:val="006E6DA3"/>
    <w:rsid w:val="006F5948"/>
    <w:rsid w:val="00714575"/>
    <w:rsid w:val="00714593"/>
    <w:rsid w:val="00726AC2"/>
    <w:rsid w:val="007305A7"/>
    <w:rsid w:val="0074215D"/>
    <w:rsid w:val="007509F6"/>
    <w:rsid w:val="00761DF1"/>
    <w:rsid w:val="007675A5"/>
    <w:rsid w:val="0077222D"/>
    <w:rsid w:val="0077457D"/>
    <w:rsid w:val="007776AF"/>
    <w:rsid w:val="00795CC1"/>
    <w:rsid w:val="007A2A81"/>
    <w:rsid w:val="007A3047"/>
    <w:rsid w:val="007B438A"/>
    <w:rsid w:val="007C4329"/>
    <w:rsid w:val="007C7B82"/>
    <w:rsid w:val="007D623A"/>
    <w:rsid w:val="007E66E5"/>
    <w:rsid w:val="008024E7"/>
    <w:rsid w:val="00802CBC"/>
    <w:rsid w:val="00817E8D"/>
    <w:rsid w:val="008261B1"/>
    <w:rsid w:val="00856121"/>
    <w:rsid w:val="0086511D"/>
    <w:rsid w:val="008741E3"/>
    <w:rsid w:val="00874E33"/>
    <w:rsid w:val="008A0469"/>
    <w:rsid w:val="008A30E3"/>
    <w:rsid w:val="008E06CA"/>
    <w:rsid w:val="009014A2"/>
    <w:rsid w:val="009224B6"/>
    <w:rsid w:val="009253BF"/>
    <w:rsid w:val="00944C66"/>
    <w:rsid w:val="00946223"/>
    <w:rsid w:val="00993042"/>
    <w:rsid w:val="009A170D"/>
    <w:rsid w:val="009A4064"/>
    <w:rsid w:val="009A6A1E"/>
    <w:rsid w:val="009B207B"/>
    <w:rsid w:val="009B7448"/>
    <w:rsid w:val="009C5447"/>
    <w:rsid w:val="009D3E79"/>
    <w:rsid w:val="009E2EA8"/>
    <w:rsid w:val="00A0018C"/>
    <w:rsid w:val="00A24C38"/>
    <w:rsid w:val="00A24E3E"/>
    <w:rsid w:val="00A358E9"/>
    <w:rsid w:val="00A41E59"/>
    <w:rsid w:val="00A453B4"/>
    <w:rsid w:val="00A71FFE"/>
    <w:rsid w:val="00A756DF"/>
    <w:rsid w:val="00A75F42"/>
    <w:rsid w:val="00A80382"/>
    <w:rsid w:val="00A81EFB"/>
    <w:rsid w:val="00A90684"/>
    <w:rsid w:val="00A918AD"/>
    <w:rsid w:val="00AC23AE"/>
    <w:rsid w:val="00AD2586"/>
    <w:rsid w:val="00AE05E2"/>
    <w:rsid w:val="00AE4272"/>
    <w:rsid w:val="00AF3B24"/>
    <w:rsid w:val="00B01187"/>
    <w:rsid w:val="00B044E4"/>
    <w:rsid w:val="00B142C4"/>
    <w:rsid w:val="00B207E6"/>
    <w:rsid w:val="00B2288B"/>
    <w:rsid w:val="00B32516"/>
    <w:rsid w:val="00B36AB8"/>
    <w:rsid w:val="00B56B0A"/>
    <w:rsid w:val="00B67F15"/>
    <w:rsid w:val="00B77924"/>
    <w:rsid w:val="00B81598"/>
    <w:rsid w:val="00B81C06"/>
    <w:rsid w:val="00B83AA6"/>
    <w:rsid w:val="00BA4F39"/>
    <w:rsid w:val="00BB4B58"/>
    <w:rsid w:val="00BD3B7A"/>
    <w:rsid w:val="00BE3BA9"/>
    <w:rsid w:val="00BE53B4"/>
    <w:rsid w:val="00BE6C87"/>
    <w:rsid w:val="00BF052C"/>
    <w:rsid w:val="00BF1429"/>
    <w:rsid w:val="00BF3763"/>
    <w:rsid w:val="00BF5145"/>
    <w:rsid w:val="00C03F59"/>
    <w:rsid w:val="00C13063"/>
    <w:rsid w:val="00C162BB"/>
    <w:rsid w:val="00C246FF"/>
    <w:rsid w:val="00C31ABE"/>
    <w:rsid w:val="00C32012"/>
    <w:rsid w:val="00C330B4"/>
    <w:rsid w:val="00C41DEC"/>
    <w:rsid w:val="00C42D23"/>
    <w:rsid w:val="00C44A6A"/>
    <w:rsid w:val="00C47188"/>
    <w:rsid w:val="00C54C7D"/>
    <w:rsid w:val="00C64A85"/>
    <w:rsid w:val="00C729F6"/>
    <w:rsid w:val="00C72D1F"/>
    <w:rsid w:val="00C80E93"/>
    <w:rsid w:val="00C837FE"/>
    <w:rsid w:val="00CA379D"/>
    <w:rsid w:val="00CB1382"/>
    <w:rsid w:val="00CD001F"/>
    <w:rsid w:val="00CE1D86"/>
    <w:rsid w:val="00CE501E"/>
    <w:rsid w:val="00D100C3"/>
    <w:rsid w:val="00D105D9"/>
    <w:rsid w:val="00D23E71"/>
    <w:rsid w:val="00D325F2"/>
    <w:rsid w:val="00D4385F"/>
    <w:rsid w:val="00D521C2"/>
    <w:rsid w:val="00D5388D"/>
    <w:rsid w:val="00D54E23"/>
    <w:rsid w:val="00D67D03"/>
    <w:rsid w:val="00D74AA3"/>
    <w:rsid w:val="00D81B40"/>
    <w:rsid w:val="00D84D36"/>
    <w:rsid w:val="00D87C56"/>
    <w:rsid w:val="00D903C0"/>
    <w:rsid w:val="00D94D87"/>
    <w:rsid w:val="00DA050F"/>
    <w:rsid w:val="00DA1F7C"/>
    <w:rsid w:val="00DD0E92"/>
    <w:rsid w:val="00DD57B3"/>
    <w:rsid w:val="00DD5DFC"/>
    <w:rsid w:val="00DE3309"/>
    <w:rsid w:val="00DF1BC6"/>
    <w:rsid w:val="00DF4871"/>
    <w:rsid w:val="00E11834"/>
    <w:rsid w:val="00E24194"/>
    <w:rsid w:val="00E266B4"/>
    <w:rsid w:val="00E3588F"/>
    <w:rsid w:val="00E540A3"/>
    <w:rsid w:val="00E55E12"/>
    <w:rsid w:val="00E5705A"/>
    <w:rsid w:val="00E63284"/>
    <w:rsid w:val="00E72C89"/>
    <w:rsid w:val="00E72F8E"/>
    <w:rsid w:val="00E74204"/>
    <w:rsid w:val="00E75F3A"/>
    <w:rsid w:val="00E85C09"/>
    <w:rsid w:val="00E95817"/>
    <w:rsid w:val="00E96D90"/>
    <w:rsid w:val="00EB7AFC"/>
    <w:rsid w:val="00EC184E"/>
    <w:rsid w:val="00EC1AE5"/>
    <w:rsid w:val="00EC5BE1"/>
    <w:rsid w:val="00EC6BD2"/>
    <w:rsid w:val="00ED1AA3"/>
    <w:rsid w:val="00EE3E92"/>
    <w:rsid w:val="00F25C4D"/>
    <w:rsid w:val="00F3161B"/>
    <w:rsid w:val="00F41019"/>
    <w:rsid w:val="00F64E25"/>
    <w:rsid w:val="00F66156"/>
    <w:rsid w:val="00F66BCD"/>
    <w:rsid w:val="00F6779A"/>
    <w:rsid w:val="00F83CB5"/>
    <w:rsid w:val="00F96962"/>
    <w:rsid w:val="00FA2524"/>
    <w:rsid w:val="00FC0736"/>
    <w:rsid w:val="00FD13A9"/>
    <w:rsid w:val="00FE346C"/>
    <w:rsid w:val="00FE7D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F786F3"/>
  <w15:chartTrackingRefBased/>
  <w15:docId w15:val="{2CAA6D5A-8439-4514-9561-77DEA586B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EE3E92"/>
    <w:pPr>
      <w:keepNext/>
      <w:keepLines/>
      <w:spacing w:before="40" w:after="0" w:line="240" w:lineRule="auto"/>
      <w:jc w:val="both"/>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E3E92"/>
    <w:pPr>
      <w:keepNext/>
      <w:keepLines/>
      <w:spacing w:before="120" w:after="120" w:line="240" w:lineRule="auto"/>
      <w:jc w:val="both"/>
      <w:outlineLvl w:val="2"/>
    </w:pPr>
    <w:rPr>
      <w:rFonts w:asciiTheme="majorHAnsi" w:eastAsiaTheme="majorEastAsia" w:hAnsiTheme="majorHAnsi" w:cstheme="majorBidi"/>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F5B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E501E"/>
    <w:rPr>
      <w:color w:val="0563C1"/>
      <w:u w:val="single"/>
    </w:rPr>
  </w:style>
  <w:style w:type="paragraph" w:styleId="ListParagraph">
    <w:name w:val="List Paragraph"/>
    <w:basedOn w:val="Normal"/>
    <w:uiPriority w:val="34"/>
    <w:qFormat/>
    <w:rsid w:val="00CE501E"/>
    <w:pPr>
      <w:spacing w:after="0" w:line="240" w:lineRule="auto"/>
      <w:ind w:left="720"/>
    </w:pPr>
    <w:rPr>
      <w:rFonts w:ascii="Calibri" w:hAnsi="Calibri" w:cs="Calibri"/>
      <w:lang w:val="en-US"/>
    </w:rPr>
  </w:style>
  <w:style w:type="character" w:styleId="Strong">
    <w:name w:val="Strong"/>
    <w:basedOn w:val="DefaultParagraphFont"/>
    <w:uiPriority w:val="22"/>
    <w:qFormat/>
    <w:rsid w:val="00CE501E"/>
    <w:rPr>
      <w:b/>
      <w:bCs/>
    </w:rPr>
  </w:style>
  <w:style w:type="paragraph" w:styleId="NormalWeb">
    <w:name w:val="Normal (Web)"/>
    <w:basedOn w:val="Normal"/>
    <w:uiPriority w:val="99"/>
    <w:unhideWhenUsed/>
    <w:rsid w:val="00493041"/>
    <w:pPr>
      <w:spacing w:after="0" w:line="240" w:lineRule="auto"/>
    </w:pPr>
    <w:rPr>
      <w:rFonts w:ascii="Calibri" w:hAnsi="Calibri" w:cs="Calibri"/>
      <w:lang w:val="en-US"/>
    </w:rPr>
  </w:style>
  <w:style w:type="paragraph" w:styleId="Header">
    <w:name w:val="header"/>
    <w:basedOn w:val="Normal"/>
    <w:link w:val="HeaderChar"/>
    <w:uiPriority w:val="99"/>
    <w:unhideWhenUsed/>
    <w:rsid w:val="002B0F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0FCB"/>
  </w:style>
  <w:style w:type="paragraph" w:styleId="Footer">
    <w:name w:val="footer"/>
    <w:basedOn w:val="Normal"/>
    <w:link w:val="FooterChar"/>
    <w:uiPriority w:val="99"/>
    <w:unhideWhenUsed/>
    <w:rsid w:val="002B0FC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0FCB"/>
  </w:style>
  <w:style w:type="character" w:styleId="UnresolvedMention">
    <w:name w:val="Unresolved Mention"/>
    <w:basedOn w:val="DefaultParagraphFont"/>
    <w:uiPriority w:val="99"/>
    <w:semiHidden/>
    <w:unhideWhenUsed/>
    <w:rsid w:val="00E5705A"/>
    <w:rPr>
      <w:color w:val="808080"/>
      <w:shd w:val="clear" w:color="auto" w:fill="E6E6E6"/>
    </w:rPr>
  </w:style>
  <w:style w:type="character" w:styleId="FollowedHyperlink">
    <w:name w:val="FollowedHyperlink"/>
    <w:basedOn w:val="DefaultParagraphFont"/>
    <w:uiPriority w:val="99"/>
    <w:semiHidden/>
    <w:unhideWhenUsed/>
    <w:rsid w:val="00E5705A"/>
    <w:rPr>
      <w:color w:val="954F72" w:themeColor="followedHyperlink"/>
      <w:u w:val="single"/>
    </w:rPr>
  </w:style>
  <w:style w:type="paragraph" w:styleId="FootnoteText">
    <w:name w:val="footnote text"/>
    <w:basedOn w:val="Normal"/>
    <w:link w:val="FootnoteTextChar"/>
    <w:uiPriority w:val="99"/>
    <w:unhideWhenUsed/>
    <w:rsid w:val="00CB1382"/>
    <w:pPr>
      <w:spacing w:after="0" w:line="240" w:lineRule="auto"/>
    </w:pPr>
    <w:rPr>
      <w:sz w:val="20"/>
      <w:szCs w:val="20"/>
    </w:rPr>
  </w:style>
  <w:style w:type="character" w:customStyle="1" w:styleId="FootnoteTextChar">
    <w:name w:val="Footnote Text Char"/>
    <w:basedOn w:val="DefaultParagraphFont"/>
    <w:link w:val="FootnoteText"/>
    <w:uiPriority w:val="99"/>
    <w:rsid w:val="00CB1382"/>
    <w:rPr>
      <w:sz w:val="20"/>
      <w:szCs w:val="20"/>
    </w:rPr>
  </w:style>
  <w:style w:type="paragraph" w:styleId="Caption">
    <w:name w:val="caption"/>
    <w:basedOn w:val="Normal"/>
    <w:next w:val="Normal"/>
    <w:uiPriority w:val="35"/>
    <w:semiHidden/>
    <w:unhideWhenUsed/>
    <w:qFormat/>
    <w:rsid w:val="00CB1382"/>
    <w:pPr>
      <w:spacing w:after="200" w:line="240" w:lineRule="auto"/>
    </w:pPr>
    <w:rPr>
      <w:i/>
      <w:iCs/>
      <w:color w:val="44546A" w:themeColor="text2"/>
      <w:sz w:val="18"/>
      <w:szCs w:val="18"/>
    </w:rPr>
  </w:style>
  <w:style w:type="character" w:styleId="FootnoteReference">
    <w:name w:val="footnote reference"/>
    <w:basedOn w:val="DefaultParagraphFont"/>
    <w:uiPriority w:val="99"/>
    <w:unhideWhenUsed/>
    <w:rsid w:val="00CB1382"/>
    <w:rPr>
      <w:vertAlign w:val="superscript"/>
    </w:rPr>
  </w:style>
  <w:style w:type="character" w:customStyle="1" w:styleId="Heading2Char">
    <w:name w:val="Heading 2 Char"/>
    <w:basedOn w:val="DefaultParagraphFont"/>
    <w:link w:val="Heading2"/>
    <w:uiPriority w:val="9"/>
    <w:rsid w:val="00EE3E9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EE3E92"/>
    <w:rPr>
      <w:rFonts w:asciiTheme="majorHAnsi" w:eastAsiaTheme="majorEastAsia" w:hAnsiTheme="majorHAnsi" w:cstheme="majorBidi"/>
      <w:color w:val="000000" w:themeColor="text1"/>
      <w:sz w:val="24"/>
      <w:szCs w:val="24"/>
    </w:rPr>
  </w:style>
  <w:style w:type="character" w:customStyle="1" w:styleId="apple-converted-space">
    <w:name w:val="apple-converted-space"/>
    <w:basedOn w:val="DefaultParagraphFont"/>
    <w:rsid w:val="003111B8"/>
  </w:style>
  <w:style w:type="paragraph" w:styleId="BalloonText">
    <w:name w:val="Balloon Text"/>
    <w:basedOn w:val="Normal"/>
    <w:link w:val="BalloonTextChar"/>
    <w:uiPriority w:val="99"/>
    <w:semiHidden/>
    <w:unhideWhenUsed/>
    <w:rsid w:val="00B142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42C4"/>
    <w:rPr>
      <w:rFonts w:ascii="Segoe UI" w:hAnsi="Segoe UI" w:cs="Segoe UI"/>
      <w:sz w:val="18"/>
      <w:szCs w:val="18"/>
    </w:rPr>
  </w:style>
  <w:style w:type="character" w:styleId="CommentReference">
    <w:name w:val="annotation reference"/>
    <w:basedOn w:val="DefaultParagraphFont"/>
    <w:uiPriority w:val="99"/>
    <w:semiHidden/>
    <w:unhideWhenUsed/>
    <w:rsid w:val="00BF1429"/>
    <w:rPr>
      <w:sz w:val="16"/>
      <w:szCs w:val="16"/>
    </w:rPr>
  </w:style>
  <w:style w:type="paragraph" w:styleId="CommentText">
    <w:name w:val="annotation text"/>
    <w:basedOn w:val="Normal"/>
    <w:link w:val="CommentTextChar"/>
    <w:uiPriority w:val="99"/>
    <w:semiHidden/>
    <w:unhideWhenUsed/>
    <w:rsid w:val="00BF1429"/>
    <w:pPr>
      <w:spacing w:line="240" w:lineRule="auto"/>
    </w:pPr>
    <w:rPr>
      <w:sz w:val="20"/>
      <w:szCs w:val="20"/>
    </w:rPr>
  </w:style>
  <w:style w:type="character" w:customStyle="1" w:styleId="CommentTextChar">
    <w:name w:val="Comment Text Char"/>
    <w:basedOn w:val="DefaultParagraphFont"/>
    <w:link w:val="CommentText"/>
    <w:uiPriority w:val="99"/>
    <w:semiHidden/>
    <w:rsid w:val="00BF1429"/>
    <w:rPr>
      <w:sz w:val="20"/>
      <w:szCs w:val="20"/>
    </w:rPr>
  </w:style>
  <w:style w:type="paragraph" w:styleId="CommentSubject">
    <w:name w:val="annotation subject"/>
    <w:basedOn w:val="CommentText"/>
    <w:next w:val="CommentText"/>
    <w:link w:val="CommentSubjectChar"/>
    <w:uiPriority w:val="99"/>
    <w:semiHidden/>
    <w:unhideWhenUsed/>
    <w:rsid w:val="00BF1429"/>
    <w:rPr>
      <w:b/>
      <w:bCs/>
    </w:rPr>
  </w:style>
  <w:style w:type="character" w:customStyle="1" w:styleId="CommentSubjectChar">
    <w:name w:val="Comment Subject Char"/>
    <w:basedOn w:val="CommentTextChar"/>
    <w:link w:val="CommentSubject"/>
    <w:uiPriority w:val="99"/>
    <w:semiHidden/>
    <w:rsid w:val="00BF142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0630597">
      <w:bodyDiv w:val="1"/>
      <w:marLeft w:val="0"/>
      <w:marRight w:val="0"/>
      <w:marTop w:val="0"/>
      <w:marBottom w:val="0"/>
      <w:divBdr>
        <w:top w:val="none" w:sz="0" w:space="0" w:color="auto"/>
        <w:left w:val="none" w:sz="0" w:space="0" w:color="auto"/>
        <w:bottom w:val="none" w:sz="0" w:space="0" w:color="auto"/>
        <w:right w:val="none" w:sz="0" w:space="0" w:color="auto"/>
      </w:divBdr>
    </w:div>
    <w:div w:id="670793098">
      <w:bodyDiv w:val="1"/>
      <w:marLeft w:val="0"/>
      <w:marRight w:val="0"/>
      <w:marTop w:val="0"/>
      <w:marBottom w:val="0"/>
      <w:divBdr>
        <w:top w:val="none" w:sz="0" w:space="0" w:color="auto"/>
        <w:left w:val="none" w:sz="0" w:space="0" w:color="auto"/>
        <w:bottom w:val="none" w:sz="0" w:space="0" w:color="auto"/>
        <w:right w:val="none" w:sz="0" w:space="0" w:color="auto"/>
      </w:divBdr>
    </w:div>
    <w:div w:id="2072076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riplehelix.stanford.edu/images/Triple_Helix_Systems.pdf" TargetMode="External"/><Relationship Id="rId117" Type="http://schemas.openxmlformats.org/officeDocument/2006/relationships/hyperlink" Target="https://github.com/OnlineS3/6.1.-RIS3-monitoring.git" TargetMode="External"/><Relationship Id="rId21" Type="http://schemas.openxmlformats.org/officeDocument/2006/relationships/hyperlink" Target="https://scholar.google.co.uk/citations?user=GSNvicMAAAAJ&amp;hl=en&amp;oi=sra" TargetMode="External"/><Relationship Id="rId42" Type="http://schemas.openxmlformats.org/officeDocument/2006/relationships/oleObject" Target="embeddings/oleObject4.bin"/><Relationship Id="rId47" Type="http://schemas.openxmlformats.org/officeDocument/2006/relationships/hyperlink" Target="http://rimapping.s3platform.eu/" TargetMode="External"/><Relationship Id="rId63" Type="http://schemas.openxmlformats.org/officeDocument/2006/relationships/hyperlink" Target="https://github.com/OnlineS3/2.6.-Specialisation-indexes" TargetMode="External"/><Relationship Id="rId68" Type="http://schemas.openxmlformats.org/officeDocument/2006/relationships/image" Target="media/image19.png"/><Relationship Id="rId84" Type="http://schemas.openxmlformats.org/officeDocument/2006/relationships/hyperlink" Target="http://extroversion.s3platform.eu/" TargetMode="External"/><Relationship Id="rId89" Type="http://schemas.openxmlformats.org/officeDocument/2006/relationships/image" Target="media/image25.png"/><Relationship Id="rId112" Type="http://schemas.openxmlformats.org/officeDocument/2006/relationships/hyperlink" Target="http://li1088-54.members.linode.com:8082/opendata/" TargetMode="External"/><Relationship Id="rId133" Type="http://schemas.openxmlformats.org/officeDocument/2006/relationships/hyperlink" Target="https://github.com/OnlineS3/6.5.-RIS3-social-media-analysis" TargetMode="External"/><Relationship Id="rId138" Type="http://schemas.openxmlformats.org/officeDocument/2006/relationships/oleObject" Target="embeddings/oleObject21.bin"/><Relationship Id="rId16" Type="http://schemas.openxmlformats.org/officeDocument/2006/relationships/image" Target="media/image7.emf"/><Relationship Id="rId107" Type="http://schemas.openxmlformats.org/officeDocument/2006/relationships/oleObject" Target="embeddings/oleObject13.bin"/><Relationship Id="rId11" Type="http://schemas.openxmlformats.org/officeDocument/2006/relationships/diagramLayout" Target="diagrams/layout1.xml"/><Relationship Id="rId32" Type="http://schemas.openxmlformats.org/officeDocument/2006/relationships/hyperlink" Target="https://github.com/OnlineS3/1.1.-RIS3-vision-sharing" TargetMode="External"/><Relationship Id="rId37" Type="http://schemas.openxmlformats.org/officeDocument/2006/relationships/image" Target="media/image10.png"/><Relationship Id="rId53" Type="http://schemas.openxmlformats.org/officeDocument/2006/relationships/image" Target="media/image14.png"/><Relationship Id="rId58" Type="http://schemas.openxmlformats.org/officeDocument/2006/relationships/image" Target="media/image16.png"/><Relationship Id="rId74" Type="http://schemas.openxmlformats.org/officeDocument/2006/relationships/hyperlink" Target="http://scenarios.s3platform.eu/" TargetMode="External"/><Relationship Id="rId79" Type="http://schemas.openxmlformats.org/officeDocument/2006/relationships/hyperlink" Target="http://s3platform.jrc.ec.europa.eu/entrepreneurial-discovery-process-focus-groups" TargetMode="External"/><Relationship Id="rId102" Type="http://schemas.openxmlformats.org/officeDocument/2006/relationships/image" Target="media/image29.png"/><Relationship Id="rId123" Type="http://schemas.openxmlformats.org/officeDocument/2006/relationships/oleObject" Target="embeddings/oleObject17.bin"/><Relationship Id="rId128" Type="http://schemas.openxmlformats.org/officeDocument/2006/relationships/hyperlink" Target="http://satisfactionsurvey.s3platform.eu/" TargetMode="External"/><Relationship Id="rId144" Type="http://schemas.openxmlformats.org/officeDocument/2006/relationships/oleObject" Target="embeddings/oleObject23.bin"/><Relationship Id="rId5" Type="http://schemas.openxmlformats.org/officeDocument/2006/relationships/webSettings" Target="webSettings.xml"/><Relationship Id="rId90" Type="http://schemas.openxmlformats.org/officeDocument/2006/relationships/hyperlink" Target="http://interventionlogic.s3platform.eu/" TargetMode="External"/><Relationship Id="rId95" Type="http://schemas.openxmlformats.org/officeDocument/2006/relationships/image" Target="media/image27.png"/><Relationship Id="rId22" Type="http://schemas.openxmlformats.org/officeDocument/2006/relationships/hyperlink" Target="https://eur-lex.europa.eu/resource.html?uri=cellar:26b02a36-6376-11e8-ab9c-01aa75ed71a1.0003.02/DOC_3&amp;format=PDF" TargetMode="External"/><Relationship Id="rId27" Type="http://schemas.openxmlformats.org/officeDocument/2006/relationships/hyperlink" Target="javascript:void(0)" TargetMode="External"/><Relationship Id="rId43" Type="http://schemas.openxmlformats.org/officeDocument/2006/relationships/hyperlink" Target="http://assetsmapping.s3platform.eu/" TargetMode="External"/><Relationship Id="rId48" Type="http://schemas.openxmlformats.org/officeDocument/2006/relationships/hyperlink" Target="https://github.com/OnlineS3/2.2.-Research-infrastructure-mapping" TargetMode="External"/><Relationship Id="rId64" Type="http://schemas.openxmlformats.org/officeDocument/2006/relationships/image" Target="media/image18.png"/><Relationship Id="rId69" Type="http://schemas.openxmlformats.org/officeDocument/2006/relationships/oleObject" Target="embeddings/oleObject8.bin"/><Relationship Id="rId113" Type="http://schemas.openxmlformats.org/officeDocument/2006/relationships/hyperlink" Target="https://github.com/OnlineS3/5.7.-RIS3-open-data-tool" TargetMode="External"/><Relationship Id="rId118" Type="http://schemas.openxmlformats.org/officeDocument/2006/relationships/image" Target="media/image33.png"/><Relationship Id="rId134" Type="http://schemas.openxmlformats.org/officeDocument/2006/relationships/image" Target="media/image37.png"/><Relationship Id="rId139" Type="http://schemas.openxmlformats.org/officeDocument/2006/relationships/hyperlink" Target="http://www.s3platform.eu/edp/" TargetMode="External"/><Relationship Id="rId80" Type="http://schemas.openxmlformats.org/officeDocument/2006/relationships/hyperlink" Target="http://edp.s3platform.eu/" TargetMode="External"/><Relationship Id="rId85" Type="http://schemas.openxmlformats.org/officeDocument/2006/relationships/hyperlink" Target="https://github.com/OnlineS3/4.2.-Extroversion-analysis" TargetMode="Externa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hyperlink" Target="http://www.s3platform.eu" TargetMode="External"/><Relationship Id="rId25" Type="http://schemas.openxmlformats.org/officeDocument/2006/relationships/hyperlink" Target="https://doi.org/10.1108/JTF-11-2015-0048" TargetMode="External"/><Relationship Id="rId33" Type="http://schemas.openxmlformats.org/officeDocument/2006/relationships/image" Target="media/image9.png"/><Relationship Id="rId38" Type="http://schemas.openxmlformats.org/officeDocument/2006/relationships/oleObject" Target="embeddings/oleObject3.bin"/><Relationship Id="rId46" Type="http://schemas.openxmlformats.org/officeDocument/2006/relationships/hyperlink" Target="https://portal.meril.eu/meril/" TargetMode="External"/><Relationship Id="rId59" Type="http://schemas.openxmlformats.org/officeDocument/2006/relationships/hyperlink" Target="http://scientificprofile.s3platform.eu/" TargetMode="External"/><Relationship Id="rId67" Type="http://schemas.openxmlformats.org/officeDocument/2006/relationships/hyperlink" Target="https://github.com/OnlineS3/2.7.-SWOT-analysis" TargetMode="External"/><Relationship Id="rId103" Type="http://schemas.openxmlformats.org/officeDocument/2006/relationships/oleObject" Target="embeddings/oleObject12.bin"/><Relationship Id="rId108" Type="http://schemas.openxmlformats.org/officeDocument/2006/relationships/hyperlink" Target="http://li1088-54.members.linode.com:8082/im/" TargetMode="External"/><Relationship Id="rId116" Type="http://schemas.openxmlformats.org/officeDocument/2006/relationships/hyperlink" Target="https://monitoring.s3platform.eu/onlines3_monitoring/about.php" TargetMode="External"/><Relationship Id="rId124" Type="http://schemas.openxmlformats.org/officeDocument/2006/relationships/hyperlink" Target="http://li1088-54.members.linode.com:8082/bscapp/" TargetMode="External"/><Relationship Id="rId129" Type="http://schemas.openxmlformats.org/officeDocument/2006/relationships/hyperlink" Target="https://github.com/OnlineS3/6.4.-RIS3-beneficiaries-and-end-users-satisfaction-online-survey" TargetMode="External"/><Relationship Id="rId137" Type="http://schemas.openxmlformats.org/officeDocument/2006/relationships/image" Target="media/image38.png"/><Relationship Id="rId20" Type="http://schemas.openxmlformats.org/officeDocument/2006/relationships/hyperlink" Target="http://www.s3platform.eu/roadmaps/" TargetMode="External"/><Relationship Id="rId41" Type="http://schemas.openxmlformats.org/officeDocument/2006/relationships/image" Target="media/image11.png"/><Relationship Id="rId54" Type="http://schemas.openxmlformats.org/officeDocument/2006/relationships/hyperlink" Target="http://benchmarking.s3platform.eu/" TargetMode="External"/><Relationship Id="rId62" Type="http://schemas.openxmlformats.org/officeDocument/2006/relationships/hyperlink" Target="http://specialisation.s3platform.eu/" TargetMode="External"/><Relationship Id="rId70" Type="http://schemas.openxmlformats.org/officeDocument/2006/relationships/hyperlink" Target="http://li1088-54.members.linode.com:8082/cvbapp/" TargetMode="External"/><Relationship Id="rId75" Type="http://schemas.openxmlformats.org/officeDocument/2006/relationships/hyperlink" Target="https://github.com/OnlineS3/3.2.-Scenario-building" TargetMode="External"/><Relationship Id="rId83" Type="http://schemas.openxmlformats.org/officeDocument/2006/relationships/oleObject" Target="embeddings/oleObject10.bin"/><Relationship Id="rId88" Type="http://schemas.openxmlformats.org/officeDocument/2006/relationships/hyperlink" Target="https://github.com/OnlineS3/4.3.-Related-variety-analysis" TargetMode="External"/><Relationship Id="rId91" Type="http://schemas.openxmlformats.org/officeDocument/2006/relationships/hyperlink" Target="https://github.com/OnlineS3/5.1.-RIS3-intervention-logic" TargetMode="External"/><Relationship Id="rId96" Type="http://schemas.openxmlformats.org/officeDocument/2006/relationships/oleObject" Target="embeddings/oleObject11.bin"/><Relationship Id="rId111" Type="http://schemas.openxmlformats.org/officeDocument/2006/relationships/oleObject" Target="embeddings/oleObject14.bin"/><Relationship Id="rId132" Type="http://schemas.openxmlformats.org/officeDocument/2006/relationships/hyperlink" Target="http://socialmediaanalysis.s3platform.eu/SMAapp/about" TargetMode="External"/><Relationship Id="rId140" Type="http://schemas.openxmlformats.org/officeDocument/2006/relationships/image" Target="media/image39.png"/><Relationship Id="rId145" Type="http://schemas.openxmlformats.org/officeDocument/2006/relationships/hyperlink" Target="http://www.s3platform.eu/vertica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hyperlink" Target="http://europa.eu/rapid/press-release_IP-18-3885_en.htm" TargetMode="External"/><Relationship Id="rId28" Type="http://schemas.openxmlformats.org/officeDocument/2006/relationships/hyperlink" Target="javascript:void(0)" TargetMode="External"/><Relationship Id="rId36" Type="http://schemas.openxmlformats.org/officeDocument/2006/relationships/hyperlink" Target="https://github.com/OnlineS3/crowdsourcing" TargetMode="External"/><Relationship Id="rId49" Type="http://schemas.openxmlformats.org/officeDocument/2006/relationships/image" Target="media/image13.png"/><Relationship Id="rId57" Type="http://schemas.openxmlformats.org/officeDocument/2006/relationships/oleObject" Target="embeddings/oleObject6.bin"/><Relationship Id="rId106" Type="http://schemas.openxmlformats.org/officeDocument/2006/relationships/image" Target="media/image30.png"/><Relationship Id="rId114" Type="http://schemas.openxmlformats.org/officeDocument/2006/relationships/image" Target="media/image32.png"/><Relationship Id="rId119" Type="http://schemas.openxmlformats.org/officeDocument/2006/relationships/oleObject" Target="embeddings/oleObject16.bin"/><Relationship Id="rId127" Type="http://schemas.openxmlformats.org/officeDocument/2006/relationships/oleObject" Target="embeddings/oleObject18.bin"/><Relationship Id="rId10" Type="http://schemas.openxmlformats.org/officeDocument/2006/relationships/diagramData" Target="diagrams/data1.xml"/><Relationship Id="rId31" Type="http://schemas.openxmlformats.org/officeDocument/2006/relationships/hyperlink" Target="http://visiongraphics.s3platform.eu/index.html" TargetMode="External"/><Relationship Id="rId44" Type="http://schemas.openxmlformats.org/officeDocument/2006/relationships/hyperlink" Target="https://github.com/OnlineS3/2.1.-Regional-assets-mapping" TargetMode="External"/><Relationship Id="rId52" Type="http://schemas.openxmlformats.org/officeDocument/2006/relationships/hyperlink" Target="https://github.com/OnlineS3/2.3.-Clusters-incubators-and-innovation-ecosystem-mapping" TargetMode="External"/><Relationship Id="rId60" Type="http://schemas.openxmlformats.org/officeDocument/2006/relationships/hyperlink" Target="https://github.com/OnlineS3/2.5.-Regional-scientific-production-" TargetMode="External"/><Relationship Id="rId65" Type="http://schemas.openxmlformats.org/officeDocument/2006/relationships/oleObject" Target="embeddings/oleObject7.bin"/><Relationship Id="rId73" Type="http://schemas.openxmlformats.org/officeDocument/2006/relationships/oleObject" Target="embeddings/oleObject9.bin"/><Relationship Id="rId78" Type="http://schemas.openxmlformats.org/officeDocument/2006/relationships/image" Target="media/image22.png"/><Relationship Id="rId81" Type="http://schemas.openxmlformats.org/officeDocument/2006/relationships/hyperlink" Target="https://github.com/OnlineS3/4.1.-EDP-focus-groups" TargetMode="External"/><Relationship Id="rId86" Type="http://schemas.openxmlformats.org/officeDocument/2006/relationships/image" Target="media/image24.png"/><Relationship Id="rId94" Type="http://schemas.openxmlformats.org/officeDocument/2006/relationships/hyperlink" Target="https://github.com/OnlineS3/5.2.-RIS3-action-plan-co-design" TargetMode="External"/><Relationship Id="rId99" Type="http://schemas.openxmlformats.org/officeDocument/2006/relationships/image" Target="media/image28.jpeg"/><Relationship Id="rId101" Type="http://schemas.openxmlformats.org/officeDocument/2006/relationships/hyperlink" Target="https://github.com/OnlineS3/5.4.-RIS3-administrative-framework-conditions" TargetMode="External"/><Relationship Id="rId122" Type="http://schemas.openxmlformats.org/officeDocument/2006/relationships/image" Target="media/image34.png"/><Relationship Id="rId130" Type="http://schemas.openxmlformats.org/officeDocument/2006/relationships/image" Target="media/image36.png"/><Relationship Id="rId135" Type="http://schemas.openxmlformats.org/officeDocument/2006/relationships/oleObject" Target="embeddings/oleObject20.bin"/><Relationship Id="rId143" Type="http://schemas.openxmlformats.org/officeDocument/2006/relationships/image" Target="media/image40.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diagramColors" Target="diagrams/colors1.xml"/><Relationship Id="rId18" Type="http://schemas.openxmlformats.org/officeDocument/2006/relationships/hyperlink" Target="http://www.s3platform.eu/roadmaps" TargetMode="External"/><Relationship Id="rId39" Type="http://schemas.openxmlformats.org/officeDocument/2006/relationships/hyperlink" Target="http://li1088-54.members.linode.com:8082/legaladmin/" TargetMode="External"/><Relationship Id="rId109" Type="http://schemas.openxmlformats.org/officeDocument/2006/relationships/hyperlink" Target="https://github.com/OnlineS3/5.6.-RIS3-innovation-maps" TargetMode="External"/><Relationship Id="rId34" Type="http://schemas.openxmlformats.org/officeDocument/2006/relationships/oleObject" Target="embeddings/oleObject2.bin"/><Relationship Id="rId50" Type="http://schemas.openxmlformats.org/officeDocument/2006/relationships/oleObject" Target="embeddings/oleObject5.bin"/><Relationship Id="rId55" Type="http://schemas.openxmlformats.org/officeDocument/2006/relationships/hyperlink" Target="https://github.com/OnlineS3/2.4.-Benchmarking" TargetMode="External"/><Relationship Id="rId76" Type="http://schemas.openxmlformats.org/officeDocument/2006/relationships/image" Target="media/image21.png"/><Relationship Id="rId97" Type="http://schemas.openxmlformats.org/officeDocument/2006/relationships/hyperlink" Target="http://budgeting.s3platform.eu/" TargetMode="External"/><Relationship Id="rId104" Type="http://schemas.openxmlformats.org/officeDocument/2006/relationships/hyperlink" Target="http://li1088-54.members.linode.com:3001/about" TargetMode="External"/><Relationship Id="rId120" Type="http://schemas.openxmlformats.org/officeDocument/2006/relationships/hyperlink" Target="https://indicators.s3platform.eu/onlines3_indicators_2/about.php" TargetMode="External"/><Relationship Id="rId125" Type="http://schemas.openxmlformats.org/officeDocument/2006/relationships/hyperlink" Target="https://github.com/OnlineS3/6.3.-Balanced-scorecard" TargetMode="External"/><Relationship Id="rId141" Type="http://schemas.openxmlformats.org/officeDocument/2006/relationships/oleObject" Target="embeddings/oleObject22.bin"/><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github.com/OnlineS3/3.1.-Collaborative-vision-building" TargetMode="External"/><Relationship Id="rId92" Type="http://schemas.openxmlformats.org/officeDocument/2006/relationships/image" Target="media/image26.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hyperlink" Target="http://ec.europa.eu/growth/industry/innovation/policy/social_en" TargetMode="External"/><Relationship Id="rId40" Type="http://schemas.openxmlformats.org/officeDocument/2006/relationships/hyperlink" Target="https://github.com/OnlineS3/1.4-RIS3-legal-and-administrative-framework-related-to-ESIF" TargetMode="External"/><Relationship Id="rId45" Type="http://schemas.openxmlformats.org/officeDocument/2006/relationships/image" Target="media/image12.png"/><Relationship Id="rId66" Type="http://schemas.openxmlformats.org/officeDocument/2006/relationships/hyperlink" Target="http://li1088-54.members.linode.com:8082/swot/" TargetMode="External"/><Relationship Id="rId87" Type="http://schemas.openxmlformats.org/officeDocument/2006/relationships/hyperlink" Target="http://relatedvariety.s3platform.eu/" TargetMode="External"/><Relationship Id="rId110" Type="http://schemas.openxmlformats.org/officeDocument/2006/relationships/image" Target="media/image31.png"/><Relationship Id="rId115" Type="http://schemas.openxmlformats.org/officeDocument/2006/relationships/oleObject" Target="embeddings/oleObject15.bin"/><Relationship Id="rId131" Type="http://schemas.openxmlformats.org/officeDocument/2006/relationships/oleObject" Target="embeddings/oleObject19.bin"/><Relationship Id="rId136" Type="http://schemas.openxmlformats.org/officeDocument/2006/relationships/hyperlink" Target="http://www.s3platform.eu/mini-s3/" TargetMode="External"/><Relationship Id="rId61" Type="http://schemas.openxmlformats.org/officeDocument/2006/relationships/image" Target="media/image17.png"/><Relationship Id="rId82" Type="http://schemas.openxmlformats.org/officeDocument/2006/relationships/image" Target="media/image23.png"/><Relationship Id="rId19" Type="http://schemas.openxmlformats.org/officeDocument/2006/relationships/hyperlink" Target="http://www.s3platform.eu" TargetMode="External"/><Relationship Id="rId14" Type="http://schemas.microsoft.com/office/2007/relationships/diagramDrawing" Target="diagrams/drawing1.xml"/><Relationship Id="rId30" Type="http://schemas.openxmlformats.org/officeDocument/2006/relationships/oleObject" Target="embeddings/oleObject1.bin"/><Relationship Id="rId35" Type="http://schemas.openxmlformats.org/officeDocument/2006/relationships/hyperlink" Target="http://engagement.s3platform.eu/" TargetMode="External"/><Relationship Id="rId56" Type="http://schemas.openxmlformats.org/officeDocument/2006/relationships/image" Target="media/image15.png"/><Relationship Id="rId77" Type="http://schemas.openxmlformats.org/officeDocument/2006/relationships/hyperlink" Target="http://foresight.s3platform.eu/" TargetMode="External"/><Relationship Id="rId100" Type="http://schemas.openxmlformats.org/officeDocument/2006/relationships/hyperlink" Target="http://stateaid.s3platform.eu/" TargetMode="External"/><Relationship Id="rId105" Type="http://schemas.openxmlformats.org/officeDocument/2006/relationships/hyperlink" Target="https://github.com/OnlineS3/5.5.-RIS3-calls-consultation" TargetMode="External"/><Relationship Id="rId126" Type="http://schemas.openxmlformats.org/officeDocument/2006/relationships/image" Target="media/image35.png"/><Relationship Id="rId147"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hyperlink" Target="http://ecosystemsmapping.s3platform.eu/" TargetMode="External"/><Relationship Id="rId72" Type="http://schemas.openxmlformats.org/officeDocument/2006/relationships/image" Target="media/image20.png"/><Relationship Id="rId93" Type="http://schemas.openxmlformats.org/officeDocument/2006/relationships/hyperlink" Target="http://actionplan.s3platform.eu/" TargetMode="External"/><Relationship Id="rId98" Type="http://schemas.openxmlformats.org/officeDocument/2006/relationships/hyperlink" Target="https://github.com/OnlineS3/5.3.-RIS3-budgeting" TargetMode="External"/><Relationship Id="rId121" Type="http://schemas.openxmlformats.org/officeDocument/2006/relationships/hyperlink" Target="https://github.com/OnlineS3/6.2.-Definition-of-RIS3-output-and-result-indicators.git" TargetMode="External"/><Relationship Id="rId142" Type="http://schemas.openxmlformats.org/officeDocument/2006/relationships/hyperlink" Target="http://www.s3platform.eu/specialisation/"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ec.europa.eu/eurostat/web/digital-economy-and-society/data/main-tables"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svg"/><Relationship Id="rId1" Type="http://schemas.openxmlformats.org/officeDocument/2006/relationships/image" Target="../media/image3.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svg"/><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05CE78-FECE-4B2F-8152-B6ADEB8A5428}" type="doc">
      <dgm:prSet loTypeId="urn:microsoft.com/office/officeart/2008/layout/AscendingPictureAccentProcess" loCatId="process" qsTypeId="urn:microsoft.com/office/officeart/2005/8/quickstyle/simple1" qsCatId="simple" csTypeId="urn:microsoft.com/office/officeart/2005/8/colors/accent3_1" csCatId="accent3" phldr="1"/>
      <dgm:spPr/>
      <dgm:t>
        <a:bodyPr/>
        <a:lstStyle/>
        <a:p>
          <a:endParaRPr lang="de-AT"/>
        </a:p>
      </dgm:t>
    </dgm:pt>
    <dgm:pt modelId="{02D631FC-7FB5-4BA8-BBAE-31B13BEBD82D}">
      <dgm:prSet phldrT="[Text]" custT="1"/>
      <dgm:spPr/>
      <dgm:t>
        <a:bodyPr/>
        <a:lstStyle/>
        <a:p>
          <a:r>
            <a:rPr lang="de-AT" sz="1050">
              <a:latin typeface="Times New Roman" panose="02020603050405020304" pitchFamily="18" charset="0"/>
              <a:cs typeface="Times New Roman" panose="02020603050405020304" pitchFamily="18" charset="0"/>
            </a:rPr>
            <a:t>Exploration and exploitation of entrepreneurial high-potential driven by diversity  </a:t>
          </a:r>
        </a:p>
      </dgm:t>
    </dgm:pt>
    <dgm:pt modelId="{E323B253-5B72-47C5-9FD2-6845F2731DB4}" type="parTrans" cxnId="{7D0951D7-8E14-4402-AA85-6FA9F288173C}">
      <dgm:prSet/>
      <dgm:spPr/>
      <dgm:t>
        <a:bodyPr/>
        <a:lstStyle/>
        <a:p>
          <a:endParaRPr lang="de-AT">
            <a:latin typeface="Times New Roman" panose="02020603050405020304" pitchFamily="18" charset="0"/>
            <a:cs typeface="Times New Roman" panose="02020603050405020304" pitchFamily="18" charset="0"/>
          </a:endParaRPr>
        </a:p>
      </dgm:t>
    </dgm:pt>
    <dgm:pt modelId="{E8B5BCC0-6B5C-44B5-BD34-8FF40F0E4BBD}" type="sibTrans" cxnId="{7D0951D7-8E14-4402-AA85-6FA9F288173C}">
      <dgm:prSet/>
      <dgm:spPr>
        <a:blipFill>
          <a:blip xmlns:r="http://schemas.openxmlformats.org/officeDocument/2006/relationships" r:embed="rId1">
            <a:duotone>
              <a:schemeClr val="accent1">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dgm:spPr>
      <dgm:t>
        <a:bodyPr/>
        <a:lstStyle/>
        <a:p>
          <a:endParaRPr lang="de-AT">
            <a:latin typeface="Times New Roman" panose="02020603050405020304" pitchFamily="18" charset="0"/>
            <a:cs typeface="Times New Roman" panose="02020603050405020304" pitchFamily="18" charset="0"/>
          </a:endParaRPr>
        </a:p>
      </dgm:t>
      <dgm:extLst>
        <a:ext uri="{E40237B7-FDA0-4F09-8148-C483321AD2D9}">
          <dgm14:cNvPr xmlns:dgm14="http://schemas.microsoft.com/office/drawing/2010/diagram" id="0" name="" descr="Netzwerk"/>
        </a:ext>
      </dgm:extLst>
    </dgm:pt>
    <dgm:pt modelId="{59BDC678-AF3C-4C6D-A3DA-B8E47782E0EF}">
      <dgm:prSet phldrT="[Text]" custT="1"/>
      <dgm:spPr/>
      <dgm:t>
        <a:bodyPr/>
        <a:lstStyle/>
        <a:p>
          <a:r>
            <a:rPr lang="en-GB" sz="1050">
              <a:latin typeface="Times New Roman" panose="02020603050405020304" pitchFamily="18" charset="0"/>
              <a:cs typeface="Times New Roman" panose="02020603050405020304" pitchFamily="18" charset="0"/>
            </a:rPr>
            <a:t>Ambitious visionary thinkers but realistic (business and political) leaders to create </a:t>
          </a:r>
          <a:r>
            <a:rPr lang="de-AT" sz="1050">
              <a:latin typeface="Times New Roman" panose="02020603050405020304" pitchFamily="18" charset="0"/>
              <a:cs typeface="Times New Roman" panose="02020603050405020304" pitchFamily="18" charset="0"/>
            </a:rPr>
            <a:t>local competitive advantages for meeting global demand </a:t>
          </a:r>
        </a:p>
      </dgm:t>
    </dgm:pt>
    <dgm:pt modelId="{EE90F753-B440-40FE-865C-21CE8A7938F0}" type="parTrans" cxnId="{949FBFEC-BA85-47C9-B071-DFEB5FBC9AAB}">
      <dgm:prSet/>
      <dgm:spPr/>
      <dgm:t>
        <a:bodyPr/>
        <a:lstStyle/>
        <a:p>
          <a:endParaRPr lang="de-AT">
            <a:latin typeface="Times New Roman" panose="02020603050405020304" pitchFamily="18" charset="0"/>
            <a:cs typeface="Times New Roman" panose="02020603050405020304" pitchFamily="18" charset="0"/>
          </a:endParaRPr>
        </a:p>
      </dgm:t>
    </dgm:pt>
    <dgm:pt modelId="{ECD6E7F0-F725-4447-B40C-7602E467E5CE}" type="sibTrans" cxnId="{949FBFEC-BA85-47C9-B071-DFEB5FBC9AAB}">
      <dgm:prSet/>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dgm:spPr>
      <dgm:t>
        <a:bodyPr/>
        <a:lstStyle/>
        <a:p>
          <a:endParaRPr lang="de-AT">
            <a:latin typeface="Times New Roman" panose="02020603050405020304" pitchFamily="18" charset="0"/>
            <a:cs typeface="Times New Roman" panose="02020603050405020304" pitchFamily="18" charset="0"/>
          </a:endParaRPr>
        </a:p>
      </dgm:t>
    </dgm:pt>
    <dgm:pt modelId="{35D93A90-C40B-4936-A119-9B1C3DB44331}" type="pres">
      <dgm:prSet presAssocID="{5305CE78-FECE-4B2F-8152-B6ADEB8A5428}" presName="Name0" presStyleCnt="0">
        <dgm:presLayoutVars>
          <dgm:chMax val="7"/>
          <dgm:chPref val="7"/>
          <dgm:dir/>
        </dgm:presLayoutVars>
      </dgm:prSet>
      <dgm:spPr/>
    </dgm:pt>
    <dgm:pt modelId="{8294339C-CD9E-4762-A279-90C69B04C164}" type="pres">
      <dgm:prSet presAssocID="{5305CE78-FECE-4B2F-8152-B6ADEB8A5428}" presName="dot1" presStyleLbl="alignNode1" presStyleIdx="0" presStyleCnt="10"/>
      <dgm:spPr/>
    </dgm:pt>
    <dgm:pt modelId="{7F7F86A6-32EF-4866-B86B-C0ADF70FD12A}" type="pres">
      <dgm:prSet presAssocID="{5305CE78-FECE-4B2F-8152-B6ADEB8A5428}" presName="dot2" presStyleLbl="alignNode1" presStyleIdx="1" presStyleCnt="10"/>
      <dgm:spPr/>
    </dgm:pt>
    <dgm:pt modelId="{5864E4F8-9879-4B4E-A4E4-1D9858855E7B}" type="pres">
      <dgm:prSet presAssocID="{5305CE78-FECE-4B2F-8152-B6ADEB8A5428}" presName="dot3" presStyleLbl="alignNode1" presStyleIdx="2" presStyleCnt="10"/>
      <dgm:spPr/>
    </dgm:pt>
    <dgm:pt modelId="{79D435A0-A923-4B6E-9E6F-F781345B536D}" type="pres">
      <dgm:prSet presAssocID="{5305CE78-FECE-4B2F-8152-B6ADEB8A5428}" presName="dotArrow1" presStyleLbl="alignNode1" presStyleIdx="3" presStyleCnt="10"/>
      <dgm:spPr/>
    </dgm:pt>
    <dgm:pt modelId="{547F4BFB-F531-4478-A4E9-D6E9C19918C7}" type="pres">
      <dgm:prSet presAssocID="{5305CE78-FECE-4B2F-8152-B6ADEB8A5428}" presName="dotArrow2" presStyleLbl="alignNode1" presStyleIdx="4" presStyleCnt="10"/>
      <dgm:spPr/>
    </dgm:pt>
    <dgm:pt modelId="{BCB31E31-5DCD-419F-8F8D-9464ED046155}" type="pres">
      <dgm:prSet presAssocID="{5305CE78-FECE-4B2F-8152-B6ADEB8A5428}" presName="dotArrow3" presStyleLbl="alignNode1" presStyleIdx="5" presStyleCnt="10"/>
      <dgm:spPr/>
    </dgm:pt>
    <dgm:pt modelId="{559D5FA0-6A0B-443C-88C9-834579B8AC26}" type="pres">
      <dgm:prSet presAssocID="{5305CE78-FECE-4B2F-8152-B6ADEB8A5428}" presName="dotArrow4" presStyleLbl="alignNode1" presStyleIdx="6" presStyleCnt="10"/>
      <dgm:spPr/>
    </dgm:pt>
    <dgm:pt modelId="{807FFA60-6657-43EB-8466-7A735479C8ED}" type="pres">
      <dgm:prSet presAssocID="{5305CE78-FECE-4B2F-8152-B6ADEB8A5428}" presName="dotArrow5" presStyleLbl="alignNode1" presStyleIdx="7" presStyleCnt="10"/>
      <dgm:spPr/>
    </dgm:pt>
    <dgm:pt modelId="{4A8F4429-FCC2-412D-9B0E-46CD408234F4}" type="pres">
      <dgm:prSet presAssocID="{5305CE78-FECE-4B2F-8152-B6ADEB8A5428}" presName="dotArrow6" presStyleLbl="alignNode1" presStyleIdx="8" presStyleCnt="10"/>
      <dgm:spPr/>
    </dgm:pt>
    <dgm:pt modelId="{17B8D2AB-67B2-40B4-8CB5-697CEFCCAFC0}" type="pres">
      <dgm:prSet presAssocID="{5305CE78-FECE-4B2F-8152-B6ADEB8A5428}" presName="dotArrow7" presStyleLbl="alignNode1" presStyleIdx="9" presStyleCnt="10" custFlipHor="1" custScaleX="118928" custScaleY="640078"/>
      <dgm:spPr>
        <a:ln>
          <a:noFill/>
        </a:ln>
      </dgm:spPr>
    </dgm:pt>
    <dgm:pt modelId="{2DD4F2A6-D7BD-4CA2-9DB2-A7172C858A88}" type="pres">
      <dgm:prSet presAssocID="{02D631FC-7FB5-4BA8-BBAE-31B13BEBD82D}" presName="parTx1" presStyleLbl="node1" presStyleIdx="0" presStyleCnt="2" custScaleX="526016" custScaleY="171519" custLinFactNeighborX="15060" custLinFactNeighborY="82995"/>
      <dgm:spPr/>
    </dgm:pt>
    <dgm:pt modelId="{B377E138-17D0-41A8-BE31-54AFF49145A8}" type="pres">
      <dgm:prSet presAssocID="{E8B5BCC0-6B5C-44B5-BD34-8FF40F0E4BBD}" presName="picture1" presStyleCnt="0"/>
      <dgm:spPr/>
    </dgm:pt>
    <dgm:pt modelId="{38A613A9-8B2E-4A79-9837-BD1D83882B0E}" type="pres">
      <dgm:prSet presAssocID="{E8B5BCC0-6B5C-44B5-BD34-8FF40F0E4BBD}" presName="imageRepeatNode" presStyleLbl="fgImgPlace1" presStyleIdx="0" presStyleCnt="2" custLinFactX="-200000" custLinFactNeighborX="-204983" custLinFactNeighborY="20567"/>
      <dgm:spPr/>
    </dgm:pt>
    <dgm:pt modelId="{03E7078F-D6A1-473D-B59F-000B32868800}" type="pres">
      <dgm:prSet presAssocID="{59BDC678-AF3C-4C6D-A3DA-B8E47782E0EF}" presName="parTx2" presStyleLbl="node1" presStyleIdx="1" presStyleCnt="2" custScaleX="329275" custScaleY="227990" custLinFactX="17857" custLinFactNeighborX="100000" custLinFactNeighborY="17087"/>
      <dgm:spPr/>
    </dgm:pt>
    <dgm:pt modelId="{0A1264D5-9A6C-4D5F-AA3F-C65BD185C105}" type="pres">
      <dgm:prSet presAssocID="{ECD6E7F0-F725-4447-B40C-7602E467E5CE}" presName="picture2" presStyleCnt="0"/>
      <dgm:spPr/>
    </dgm:pt>
    <dgm:pt modelId="{F1B7E532-B3D1-4DBB-8CB1-09E32B245488}" type="pres">
      <dgm:prSet presAssocID="{ECD6E7F0-F725-4447-B40C-7602E467E5CE}" presName="imageRepeatNode" presStyleLbl="fgImgPlace1" presStyleIdx="1" presStyleCnt="2" custLinFactNeighborX="-60724" custLinFactNeighborY="-8474"/>
      <dgm:spPr/>
    </dgm:pt>
  </dgm:ptLst>
  <dgm:cxnLst>
    <dgm:cxn modelId="{88D26B2B-355D-43F0-8A83-5542E7554445}" type="presOf" srcId="{ECD6E7F0-F725-4447-B40C-7602E467E5CE}" destId="{F1B7E532-B3D1-4DBB-8CB1-09E32B245488}" srcOrd="0" destOrd="0" presId="urn:microsoft.com/office/officeart/2008/layout/AscendingPictureAccentProcess"/>
    <dgm:cxn modelId="{A8D46B41-71D8-4597-8187-719125D6934B}" type="presOf" srcId="{5305CE78-FECE-4B2F-8152-B6ADEB8A5428}" destId="{35D93A90-C40B-4936-A119-9B1C3DB44331}" srcOrd="0" destOrd="0" presId="urn:microsoft.com/office/officeart/2008/layout/AscendingPictureAccentProcess"/>
    <dgm:cxn modelId="{8AA1AEA6-22FF-4DB6-B4B9-7B9521D096B0}" type="presOf" srcId="{E8B5BCC0-6B5C-44B5-BD34-8FF40F0E4BBD}" destId="{38A613A9-8B2E-4A79-9837-BD1D83882B0E}" srcOrd="0" destOrd="0" presId="urn:microsoft.com/office/officeart/2008/layout/AscendingPictureAccentProcess"/>
    <dgm:cxn modelId="{BA6531B6-581D-49AA-8B21-E06B40ED0766}" type="presOf" srcId="{02D631FC-7FB5-4BA8-BBAE-31B13BEBD82D}" destId="{2DD4F2A6-D7BD-4CA2-9DB2-A7172C858A88}" srcOrd="0" destOrd="0" presId="urn:microsoft.com/office/officeart/2008/layout/AscendingPictureAccentProcess"/>
    <dgm:cxn modelId="{7D0951D7-8E14-4402-AA85-6FA9F288173C}" srcId="{5305CE78-FECE-4B2F-8152-B6ADEB8A5428}" destId="{02D631FC-7FB5-4BA8-BBAE-31B13BEBD82D}" srcOrd="0" destOrd="0" parTransId="{E323B253-5B72-47C5-9FD2-6845F2731DB4}" sibTransId="{E8B5BCC0-6B5C-44B5-BD34-8FF40F0E4BBD}"/>
    <dgm:cxn modelId="{949FBFEC-BA85-47C9-B071-DFEB5FBC9AAB}" srcId="{5305CE78-FECE-4B2F-8152-B6ADEB8A5428}" destId="{59BDC678-AF3C-4C6D-A3DA-B8E47782E0EF}" srcOrd="1" destOrd="0" parTransId="{EE90F753-B440-40FE-865C-21CE8A7938F0}" sibTransId="{ECD6E7F0-F725-4447-B40C-7602E467E5CE}"/>
    <dgm:cxn modelId="{860DFDFC-3490-41F9-A0A7-D61377D4D4EC}" type="presOf" srcId="{59BDC678-AF3C-4C6D-A3DA-B8E47782E0EF}" destId="{03E7078F-D6A1-473D-B59F-000B32868800}" srcOrd="0" destOrd="0" presId="urn:microsoft.com/office/officeart/2008/layout/AscendingPictureAccentProcess"/>
    <dgm:cxn modelId="{81525989-6824-4883-AF58-93C0CA8982DD}" type="presParOf" srcId="{35D93A90-C40B-4936-A119-9B1C3DB44331}" destId="{8294339C-CD9E-4762-A279-90C69B04C164}" srcOrd="0" destOrd="0" presId="urn:microsoft.com/office/officeart/2008/layout/AscendingPictureAccentProcess"/>
    <dgm:cxn modelId="{03AAE353-3793-4E7F-970E-D05D82E962B0}" type="presParOf" srcId="{35D93A90-C40B-4936-A119-9B1C3DB44331}" destId="{7F7F86A6-32EF-4866-B86B-C0ADF70FD12A}" srcOrd="1" destOrd="0" presId="urn:microsoft.com/office/officeart/2008/layout/AscendingPictureAccentProcess"/>
    <dgm:cxn modelId="{CA9F9383-F3FC-4CEE-B3ED-9191716CBF00}" type="presParOf" srcId="{35D93A90-C40B-4936-A119-9B1C3DB44331}" destId="{5864E4F8-9879-4B4E-A4E4-1D9858855E7B}" srcOrd="2" destOrd="0" presId="urn:microsoft.com/office/officeart/2008/layout/AscendingPictureAccentProcess"/>
    <dgm:cxn modelId="{3CFF40F5-92F3-477F-97B6-41B68A72F1A6}" type="presParOf" srcId="{35D93A90-C40B-4936-A119-9B1C3DB44331}" destId="{79D435A0-A923-4B6E-9E6F-F781345B536D}" srcOrd="3" destOrd="0" presId="urn:microsoft.com/office/officeart/2008/layout/AscendingPictureAccentProcess"/>
    <dgm:cxn modelId="{23ACD9D1-97CE-4F85-A8A2-716B3A261E1A}" type="presParOf" srcId="{35D93A90-C40B-4936-A119-9B1C3DB44331}" destId="{547F4BFB-F531-4478-A4E9-D6E9C19918C7}" srcOrd="4" destOrd="0" presId="urn:microsoft.com/office/officeart/2008/layout/AscendingPictureAccentProcess"/>
    <dgm:cxn modelId="{29305B79-8966-4405-8C0B-74B44E916B7D}" type="presParOf" srcId="{35D93A90-C40B-4936-A119-9B1C3DB44331}" destId="{BCB31E31-5DCD-419F-8F8D-9464ED046155}" srcOrd="5" destOrd="0" presId="urn:microsoft.com/office/officeart/2008/layout/AscendingPictureAccentProcess"/>
    <dgm:cxn modelId="{35E0480A-B897-4A5E-9415-7D1739330A9B}" type="presParOf" srcId="{35D93A90-C40B-4936-A119-9B1C3DB44331}" destId="{559D5FA0-6A0B-443C-88C9-834579B8AC26}" srcOrd="6" destOrd="0" presId="urn:microsoft.com/office/officeart/2008/layout/AscendingPictureAccentProcess"/>
    <dgm:cxn modelId="{AD3CBA04-7E09-40D7-A6B3-AB61CCE2399C}" type="presParOf" srcId="{35D93A90-C40B-4936-A119-9B1C3DB44331}" destId="{807FFA60-6657-43EB-8466-7A735479C8ED}" srcOrd="7" destOrd="0" presId="urn:microsoft.com/office/officeart/2008/layout/AscendingPictureAccentProcess"/>
    <dgm:cxn modelId="{49924798-D4B7-46CE-AE73-5BF48F380647}" type="presParOf" srcId="{35D93A90-C40B-4936-A119-9B1C3DB44331}" destId="{4A8F4429-FCC2-412D-9B0E-46CD408234F4}" srcOrd="8" destOrd="0" presId="urn:microsoft.com/office/officeart/2008/layout/AscendingPictureAccentProcess"/>
    <dgm:cxn modelId="{4B2D4245-BFF5-4B3B-A55B-946B5EDC1B30}" type="presParOf" srcId="{35D93A90-C40B-4936-A119-9B1C3DB44331}" destId="{17B8D2AB-67B2-40B4-8CB5-697CEFCCAFC0}" srcOrd="9" destOrd="0" presId="urn:microsoft.com/office/officeart/2008/layout/AscendingPictureAccentProcess"/>
    <dgm:cxn modelId="{1B705137-AE0C-423B-ADB9-058AC6DDAA29}" type="presParOf" srcId="{35D93A90-C40B-4936-A119-9B1C3DB44331}" destId="{2DD4F2A6-D7BD-4CA2-9DB2-A7172C858A88}" srcOrd="10" destOrd="0" presId="urn:microsoft.com/office/officeart/2008/layout/AscendingPictureAccentProcess"/>
    <dgm:cxn modelId="{010FF0CE-FB3B-48B3-86C2-A61C6DCC3900}" type="presParOf" srcId="{35D93A90-C40B-4936-A119-9B1C3DB44331}" destId="{B377E138-17D0-41A8-BE31-54AFF49145A8}" srcOrd="11" destOrd="0" presId="urn:microsoft.com/office/officeart/2008/layout/AscendingPictureAccentProcess"/>
    <dgm:cxn modelId="{01ECB173-A997-47D1-AB76-2408AF3C778B}" type="presParOf" srcId="{B377E138-17D0-41A8-BE31-54AFF49145A8}" destId="{38A613A9-8B2E-4A79-9837-BD1D83882B0E}" srcOrd="0" destOrd="0" presId="urn:microsoft.com/office/officeart/2008/layout/AscendingPictureAccentProcess"/>
    <dgm:cxn modelId="{5E36FADB-191E-487C-A200-48EAE05E38F1}" type="presParOf" srcId="{35D93A90-C40B-4936-A119-9B1C3DB44331}" destId="{03E7078F-D6A1-473D-B59F-000B32868800}" srcOrd="12" destOrd="0" presId="urn:microsoft.com/office/officeart/2008/layout/AscendingPictureAccentProcess"/>
    <dgm:cxn modelId="{BA63B07C-2B24-48CD-A2C3-014DB29E31FA}" type="presParOf" srcId="{35D93A90-C40B-4936-A119-9B1C3DB44331}" destId="{0A1264D5-9A6C-4D5F-AA3F-C65BD185C105}" srcOrd="13" destOrd="0" presId="urn:microsoft.com/office/officeart/2008/layout/AscendingPictureAccentProcess"/>
    <dgm:cxn modelId="{A43F5C1A-624F-4FC9-BBA6-4BFF2B8DDFC3}" type="presParOf" srcId="{0A1264D5-9A6C-4D5F-AA3F-C65BD185C105}" destId="{F1B7E532-B3D1-4DBB-8CB1-09E32B245488}" srcOrd="0" destOrd="0" presId="urn:microsoft.com/office/officeart/2008/layout/AscendingPictureAccentProcess"/>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94339C-CD9E-4762-A279-90C69B04C164}">
      <dsp:nvSpPr>
        <dsp:cNvPr id="0" name=""/>
        <dsp:cNvSpPr/>
      </dsp:nvSpPr>
      <dsp:spPr>
        <a:xfrm>
          <a:off x="2590731" y="948597"/>
          <a:ext cx="42881" cy="42881"/>
        </a:xfrm>
        <a:prstGeom prst="ellipse">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7F86A6-32EF-4866-B86B-C0ADF70FD12A}">
      <dsp:nvSpPr>
        <dsp:cNvPr id="0" name=""/>
        <dsp:cNvSpPr/>
      </dsp:nvSpPr>
      <dsp:spPr>
        <a:xfrm>
          <a:off x="2553167" y="1008795"/>
          <a:ext cx="42881" cy="42881"/>
        </a:xfrm>
        <a:prstGeom prst="ellipse">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864E4F8-9879-4B4E-A4E4-1D9858855E7B}">
      <dsp:nvSpPr>
        <dsp:cNvPr id="0" name=""/>
        <dsp:cNvSpPr/>
      </dsp:nvSpPr>
      <dsp:spPr>
        <a:xfrm>
          <a:off x="2508399" y="1060914"/>
          <a:ext cx="42881" cy="42881"/>
        </a:xfrm>
        <a:prstGeom prst="ellipse">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9D435A0-A923-4B6E-9E6F-F781345B536D}">
      <dsp:nvSpPr>
        <dsp:cNvPr id="0" name=""/>
        <dsp:cNvSpPr/>
      </dsp:nvSpPr>
      <dsp:spPr>
        <a:xfrm>
          <a:off x="2561915" y="342746"/>
          <a:ext cx="42881" cy="42881"/>
        </a:xfrm>
        <a:prstGeom prst="ellipse">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47F4BFB-F531-4478-A4E9-D6E9C19918C7}">
      <dsp:nvSpPr>
        <dsp:cNvPr id="0" name=""/>
        <dsp:cNvSpPr/>
      </dsp:nvSpPr>
      <dsp:spPr>
        <a:xfrm>
          <a:off x="2619205" y="308607"/>
          <a:ext cx="42881" cy="42881"/>
        </a:xfrm>
        <a:prstGeom prst="ellipse">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CB31E31-5DCD-419F-8F8D-9464ED046155}">
      <dsp:nvSpPr>
        <dsp:cNvPr id="0" name=""/>
        <dsp:cNvSpPr/>
      </dsp:nvSpPr>
      <dsp:spPr>
        <a:xfrm>
          <a:off x="2676322" y="274468"/>
          <a:ext cx="42881" cy="42881"/>
        </a:xfrm>
        <a:prstGeom prst="ellipse">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59D5FA0-6A0B-443C-88C9-834579B8AC26}">
      <dsp:nvSpPr>
        <dsp:cNvPr id="0" name=""/>
        <dsp:cNvSpPr/>
      </dsp:nvSpPr>
      <dsp:spPr>
        <a:xfrm>
          <a:off x="2733440" y="308607"/>
          <a:ext cx="42881" cy="42881"/>
        </a:xfrm>
        <a:prstGeom prst="ellipse">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07FFA60-6657-43EB-8466-7A735479C8ED}">
      <dsp:nvSpPr>
        <dsp:cNvPr id="0" name=""/>
        <dsp:cNvSpPr/>
      </dsp:nvSpPr>
      <dsp:spPr>
        <a:xfrm>
          <a:off x="2790730" y="342746"/>
          <a:ext cx="42881" cy="42881"/>
        </a:xfrm>
        <a:prstGeom prst="ellipse">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A8F4429-FCC2-412D-9B0E-46CD408234F4}">
      <dsp:nvSpPr>
        <dsp:cNvPr id="0" name=""/>
        <dsp:cNvSpPr/>
      </dsp:nvSpPr>
      <dsp:spPr>
        <a:xfrm>
          <a:off x="2676322" y="346501"/>
          <a:ext cx="42881" cy="42881"/>
        </a:xfrm>
        <a:prstGeom prst="ellipse">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7B8D2AB-67B2-40B4-8CB5-697CEFCCAFC0}">
      <dsp:nvSpPr>
        <dsp:cNvPr id="0" name=""/>
        <dsp:cNvSpPr/>
      </dsp:nvSpPr>
      <dsp:spPr>
        <a:xfrm flipH="1">
          <a:off x="2672264" y="302738"/>
          <a:ext cx="50997" cy="274473"/>
        </a:xfrm>
        <a:prstGeom prst="ellipse">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sp>
    <dsp:sp modelId="{2DD4F2A6-D7BD-4CA2-9DB2-A7172C858A88}">
      <dsp:nvSpPr>
        <dsp:cNvPr id="0" name=""/>
        <dsp:cNvSpPr/>
      </dsp:nvSpPr>
      <dsp:spPr>
        <a:xfrm>
          <a:off x="496692" y="1334724"/>
          <a:ext cx="4864929" cy="425497"/>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5763" tIns="41910" rIns="41910" bIns="41910" numCol="1" spcCol="1270" anchor="ctr" anchorCtr="0">
          <a:noAutofit/>
        </a:bodyPr>
        <a:lstStyle/>
        <a:p>
          <a:pPr marL="0" lvl="0" indent="0" algn="l" defTabSz="466725">
            <a:lnSpc>
              <a:spcPct val="90000"/>
            </a:lnSpc>
            <a:spcBef>
              <a:spcPct val="0"/>
            </a:spcBef>
            <a:spcAft>
              <a:spcPct val="35000"/>
            </a:spcAft>
            <a:buNone/>
          </a:pPr>
          <a:r>
            <a:rPr lang="de-AT" sz="1050" kern="1200">
              <a:latin typeface="Times New Roman" panose="02020603050405020304" pitchFamily="18" charset="0"/>
              <a:cs typeface="Times New Roman" panose="02020603050405020304" pitchFamily="18" charset="0"/>
            </a:rPr>
            <a:t>Exploration and exploitation of entrepreneurial high-potential driven by diversity  </a:t>
          </a:r>
        </a:p>
      </dsp:txBody>
      <dsp:txXfrm>
        <a:off x="517463" y="1355495"/>
        <a:ext cx="4823387" cy="383955"/>
      </dsp:txXfrm>
    </dsp:sp>
    <dsp:sp modelId="{38A613A9-8B2E-4A79-9837-BD1D83882B0E}">
      <dsp:nvSpPr>
        <dsp:cNvPr id="0" name=""/>
        <dsp:cNvSpPr/>
      </dsp:nvSpPr>
      <dsp:spPr>
        <a:xfrm>
          <a:off x="334391" y="1062664"/>
          <a:ext cx="428812" cy="428784"/>
        </a:xfrm>
        <a:prstGeom prst="ellipse">
          <a:avLst/>
        </a:prstGeom>
        <a:blipFill>
          <a:blip xmlns:r="http://schemas.openxmlformats.org/officeDocument/2006/relationships" r:embed="rId1">
            <a:duotone>
              <a:schemeClr val="accent1">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03E7078F-D6A1-473D-B59F-000B32868800}">
      <dsp:nvSpPr>
        <dsp:cNvPr id="0" name=""/>
        <dsp:cNvSpPr/>
      </dsp:nvSpPr>
      <dsp:spPr>
        <a:xfrm>
          <a:off x="2534400" y="615950"/>
          <a:ext cx="3045344" cy="565588"/>
        </a:xfrm>
        <a:prstGeom prst="round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5763" tIns="41910" rIns="41910" bIns="41910" numCol="1" spcCol="1270" anchor="ctr" anchorCtr="0">
          <a:noAutofit/>
        </a:bodyPr>
        <a:lstStyle/>
        <a:p>
          <a:pPr marL="0" lvl="0" indent="0" algn="l" defTabSz="466725">
            <a:lnSpc>
              <a:spcPct val="90000"/>
            </a:lnSpc>
            <a:spcBef>
              <a:spcPct val="0"/>
            </a:spcBef>
            <a:spcAft>
              <a:spcPct val="35000"/>
            </a:spcAft>
            <a:buNone/>
          </a:pPr>
          <a:r>
            <a:rPr lang="en-GB" sz="1050" kern="1200">
              <a:latin typeface="Times New Roman" panose="02020603050405020304" pitchFamily="18" charset="0"/>
              <a:cs typeface="Times New Roman" panose="02020603050405020304" pitchFamily="18" charset="0"/>
            </a:rPr>
            <a:t>Ambitious visionary thinkers but realistic (business and political) leaders to create </a:t>
          </a:r>
          <a:r>
            <a:rPr lang="de-AT" sz="1050" kern="1200">
              <a:latin typeface="Times New Roman" panose="02020603050405020304" pitchFamily="18" charset="0"/>
              <a:cs typeface="Times New Roman" panose="02020603050405020304" pitchFamily="18" charset="0"/>
            </a:rPr>
            <a:t>local competitive advantages for meeting global demand </a:t>
          </a:r>
        </a:p>
      </dsp:txBody>
      <dsp:txXfrm>
        <a:off x="2562010" y="643560"/>
        <a:ext cx="2990124" cy="510368"/>
      </dsp:txXfrm>
    </dsp:sp>
    <dsp:sp modelId="{F1B7E532-B3D1-4DBB-8CB1-09E32B245488}">
      <dsp:nvSpPr>
        <dsp:cNvPr id="0" name=""/>
        <dsp:cNvSpPr/>
      </dsp:nvSpPr>
      <dsp:spPr>
        <a:xfrm>
          <a:off x="2201524" y="452913"/>
          <a:ext cx="428812" cy="428784"/>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AscendingPictureAccentProcess">
  <dgm:title val=""/>
  <dgm:desc val=""/>
  <dgm:catLst>
    <dgm:cat type="process" pri="22500"/>
    <dgm:cat type="picture" pri="16000"/>
    <dgm:cat type="pictureconvert" pri="16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shape xmlns:r="http://schemas.openxmlformats.org/officeDocument/2006/relationships" r:blip="">
      <dgm:adjLst/>
    </dgm:shape>
    <dgm:choose name="Name1">
      <dgm:if name="Name2" axis="ch" ptType="node" func="cnt" op="equ" val="1">
        <dgm:choose name="Name3">
          <dgm:if name="Name4" func="var" arg="dir" op="equ" val="norm">
            <dgm:choose name="Name5">
              <dgm:if name="Name6" axis="des" func="maxDepth" op="gt" val="1">
                <dgm:alg type="composite">
                  <dgm:param type="ar" val="2.7"/>
                </dgm:alg>
                <dgm:constrLst>
                  <dgm:constr type="primFontSz" for="ch" forName="parTx1" op="equ" val="65"/>
                  <dgm:constr type="primFontSz" for="ch" forName="desTx1" op="equ" val="65"/>
                  <dgm:constr type="userD" refType="w" fact="0.0247"/>
                  <dgm:constr type="l" for="ch" forName="parTx1" refType="w" fact="0.2711"/>
                  <dgm:constr type="t" for="ch" forName="parTx1" refType="h" fact="0.9603"/>
                  <dgm:constr type="w" for="ch" forName="parTx1" refType="w" fact="0.5325"/>
                  <dgm:constr type="h" for="ch" forName="parTx1" refType="h" fact="0.3856"/>
                  <dgm:constr type="ctrX" for="ch" forName="picture1" refType="w" fact="0.2469"/>
                  <dgm:constr type="ctrY" for="ch" forName="picture1" refType="h" fact="0.9"/>
                  <dgm:constr type="w" for="ch" forName="picture1" refType="w" fact="0.2469"/>
                  <dgm:constr type="h" for="ch" forName="picture1" refType="h" fact="0.6667"/>
                  <dgm:constr type="l" for="ch" forName="desTx1" refType="r" refFor="ch" refForName="parTx1"/>
                  <dgm:constr type="r" for="ch" forName="desTx1" refType="w"/>
                  <dgm:constr type="t" for="ch" forName="desTx1" refType="t" refFor="ch" refForName="parTx1"/>
                  <dgm:constr type="h" for="ch" forName="desTx1" refType="h" refFor="ch" refForName="parTx1"/>
                </dgm:constrLst>
              </dgm:if>
              <dgm:else name="Name7">
                <dgm:alg type="composite">
                  <dgm:param type="ar" val="2"/>
                </dgm:alg>
                <dgm:constrLst>
                  <dgm:constr type="primFontSz" for="ch" forName="parTx1" op="equ" val="65"/>
                  <dgm:constr type="userD" refType="w" fact="0.0333"/>
                  <dgm:constr type="l" for="ch" forName="parTx1" refType="w" fact="0.366"/>
                  <dgm:constr type="t" for="ch" forName="parTx1" refType="h" fact="0.7113"/>
                  <dgm:constr type="w" for="ch" forName="parTx1" refType="w" fact="0.7189"/>
                  <dgm:constr type="h" for="ch" forName="parTx1" refType="h" fact="0.3856"/>
                  <dgm:constr type="ctrX" for="ch" forName="picture1" refType="w" fact="0.3333"/>
                  <dgm:constr type="ctrY" for="ch" forName="picture1" refType="h" fact="0.6667"/>
                  <dgm:constr type="w" for="ch" forName="picture1" refType="w" fact="0.3333"/>
                  <dgm:constr type="h" for="ch" forName="picture1" refType="h" fact="0.6667"/>
                </dgm:constrLst>
              </dgm:else>
            </dgm:choose>
          </dgm:if>
          <dgm:else name="Name8">
            <dgm:choose name="Name9">
              <dgm:if name="Name10" axis="des" func="maxDepth" op="gt" val="1">
                <dgm:alg type="composite">
                  <dgm:param type="ar" val="2.7"/>
                </dgm:alg>
                <dgm:constrLst>
                  <dgm:constr type="primFontSz" for="ch" forName="parTx1" op="equ" val="65"/>
                  <dgm:constr type="primFontSz" for="ch" forName="desTx1" op="equ" val="65"/>
                  <dgm:constr type="userD" refType="w" fact="0.0247"/>
                  <dgm:constr type="r" for="ch" forName="parTx1" refType="w" fact="0.7289"/>
                  <dgm:constr type="t" for="ch" forName="parTx1" refType="h" fact="0.9603"/>
                  <dgm:constr type="w" for="ch" forName="parTx1" refType="w" fact="0.5325"/>
                  <dgm:constr type="h" for="ch" forName="parTx1" refType="h" fact="0.3856"/>
                  <dgm:constr type="ctrX" for="ch" forName="picture1" refType="w" fact="0.7531"/>
                  <dgm:constr type="ctrY" for="ch" forName="picture1" refType="h" fact="0.9"/>
                  <dgm:constr type="w" for="ch" forName="picture1" refType="w" fact="0.2469"/>
                  <dgm:constr type="h" for="ch" forName="picture1" refType="h" fact="0.6667"/>
                  <dgm:constr type="r" for="ch" forName="desTx1" refType="l" refFor="ch" refForName="parTx1"/>
                  <dgm:constr type="l" for="ch" forName="desTx1"/>
                  <dgm:constr type="t" for="ch" forName="desTx1" refType="t" refFor="ch" refForName="parTx1"/>
                  <dgm:constr type="h" for="ch" forName="desTx1" refType="h" refFor="ch" refForName="parTx1"/>
                </dgm:constrLst>
              </dgm:if>
              <dgm:else name="Name11">
                <dgm:alg type="composite">
                  <dgm:param type="ar" val="2"/>
                </dgm:alg>
                <dgm:constrLst>
                  <dgm:constr type="primFontSz" for="ch" forName="parTx1" op="equ" val="65"/>
                  <dgm:constr type="userD" refType="w" fact="0.0333"/>
                  <dgm:constr type="r" for="ch" forName="parTx1" refType="w" fact="0.634"/>
                  <dgm:constr type="t" for="ch" forName="parTx1" refType="h" fact="0.7113"/>
                  <dgm:constr type="w" for="ch" forName="parTx1" refType="w" fact="0.7189"/>
                  <dgm:constr type="h" for="ch" forName="parTx1" refType="h" fact="0.3856"/>
                  <dgm:constr type="ctrX" for="ch" forName="picture1" refType="w" fact="0.6667"/>
                  <dgm:constr type="ctrY" for="ch" forName="picture1" refType="h" fact="0.6667"/>
                  <dgm:constr type="w" for="ch" forName="picture1" refType="w" fact="0.3333"/>
                  <dgm:constr type="h" for="ch" forName="picture1" refType="h" fact="0.6667"/>
                </dgm:constrLst>
              </dgm:else>
            </dgm:choose>
          </dgm:else>
        </dgm:choose>
      </dgm:if>
      <dgm:if name="Name12" axis="ch" ptType="node" func="cnt" op="equ" val="2">
        <dgm:choose name="Name13">
          <dgm:if name="Name14" func="var" arg="dir" op="equ" val="norm">
            <dgm:choose name="Name15">
              <dgm:if name="Name16"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3221"/>
                  <dgm:constr type="ctrY" for="ch" forName="dot1" refType="h" fact="0.5911"/>
                  <dgm:constr type="w" for="ch" forName="dot1" refType="userD"/>
                  <dgm:constr type="h" for="ch" forName="dot1" refType="userD"/>
                  <dgm:constr type="ctrX" for="ch" forName="dot2" refType="w" fact="0.3056"/>
                  <dgm:constr type="ctrY" for="ch" forName="dot2" refType="h" fact="0.644"/>
                  <dgm:constr type="w" for="ch" forName="dot2" refType="userD"/>
                  <dgm:constr type="h" for="ch" forName="dot2" refType="userD"/>
                  <dgm:constr type="ctrX" for="ch" forName="dot3" refType="w" fact="0.2859"/>
                  <dgm:constr type="ctrY" for="ch" forName="dot3" refType="h" fact="0.6898"/>
                  <dgm:constr type="w" for="ch" forName="dot3" refType="userD"/>
                  <dgm:constr type="h" for="ch" forName="dot3" refType="userD"/>
                  <dgm:constr type="ctrX" for="ch" forName="dotArrow1" refType="w" fact="0.3095"/>
                  <dgm:constr type="ctrY" for="ch" forName="dotArrow1" refType="h" fact="0.0587"/>
                  <dgm:constr type="w" for="ch" forName="dotArrow1" refType="userD"/>
                  <dgm:constr type="h" for="ch" forName="dotArrow1" refType="userD"/>
                  <dgm:constr type="ctrX" for="ch" forName="dotArrow2" refType="w" fact="0.3346"/>
                  <dgm:constr type="ctrY" for="ch" forName="dotArrow2" refType="h" fact="0.0287"/>
                  <dgm:constr type="w" for="ch" forName="dotArrow2" refType="userD"/>
                  <dgm:constr type="h" for="ch" forName="dotArrow2" refType="userD"/>
                  <dgm:constr type="ctrX" for="ch" forName="dotArrow3" refType="w" fact="0.3597"/>
                  <dgm:constr type="ctrY" for="ch" forName="dotArrow3" refType="h" fact="-0.0013"/>
                  <dgm:constr type="w" for="ch" forName="dotArrow3" refType="userD"/>
                  <dgm:constr type="h" for="ch" forName="dotArrow3" refType="userD"/>
                  <dgm:constr type="ctrX" for="ch" forName="dotArrow4" refType="w" fact="0.3848"/>
                  <dgm:constr type="ctrY" for="ch" forName="dotArrow4" refType="h" fact="0.0287"/>
                  <dgm:constr type="w" for="ch" forName="dotArrow4" refType="userD"/>
                  <dgm:constr type="h" for="ch" forName="dotArrow4" refType="userD"/>
                  <dgm:constr type="ctrX" for="ch" forName="dotArrow5" refType="w" fact="0.41"/>
                  <dgm:constr type="ctrY" for="ch" forName="dotArrow5" refType="h" fact="0.0587"/>
                  <dgm:constr type="w" for="ch" forName="dotArrow5" refType="userD"/>
                  <dgm:constr type="h" for="ch" forName="dotArrow5" refType="userD"/>
                  <dgm:constr type="ctrX" for="ch" forName="dotArrow6" refType="w" fact="0.3597"/>
                  <dgm:constr type="ctrY" for="ch" forName="dotArrow6" refType="h" fact="0.062"/>
                  <dgm:constr type="w" for="ch" forName="dotArrow6" refType="userD"/>
                  <dgm:constr type="h" for="ch" forName="dotArrow6" refType="userD"/>
                  <dgm:constr type="ctrX" for="ch" forName="dotArrow7" refType="w" fact="0.3597"/>
                  <dgm:constr type="ctrY" for="ch" forName="dotArrow7" refType="h" fact="0.1253"/>
                  <dgm:constr type="w" for="ch" forName="dotArrow7" refType="userD"/>
                  <dgm:constr type="h" for="ch" forName="dotArrow7" refType="userD"/>
                  <dgm:constr type="l" for="ch" forName="parTx1" refType="w" fact="0.197"/>
                  <dgm:constr type="t" for="ch" forName="parTx1" refType="h" fact="0.8169"/>
                  <dgm:constr type="w" for="ch" forName="parTx1" refType="w" fact="0.4064"/>
                  <dgm:constr type="h" for="ch" forName="parTx1" refType="h" fact="0.218"/>
                  <dgm:constr type="ctrX" for="ch" forName="picture1" refType="w" fact="0.1785"/>
                  <dgm:constr type="ctrY" for="ch" forName="picture1" refType="h" fact="0.7834"/>
                  <dgm:constr type="w" for="ch" forName="picture1" refType="w" fact="0.1884"/>
                  <dgm:constr type="h" for="ch" forName="picture1" refType="h" fact="0.376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688"/>
                  <dgm:constr type="t" for="ch" forName="parTx2" refType="h" fact="0.3905"/>
                  <dgm:constr type="w" for="ch" forName="parTx2" refType="w" fact="0.4064"/>
                  <dgm:constr type="h" for="ch" forName="parTx2" refType="h" fact="0.218"/>
                  <dgm:constr type="ctrX" for="ch" forName="picture2" refType="w" fact="0.3503"/>
                  <dgm:constr type="ctrY" for="ch" forName="picture2" refType="h" fact="0.357"/>
                  <dgm:constr type="w" for="ch" forName="picture2" refType="w" fact="0.1884"/>
                  <dgm:constr type="h" for="ch" forName="picture2" refType="h" fact="0.3768"/>
                  <dgm:constr type="l" for="ch" forName="desTx2" refType="r" refFor="ch" refForName="parTx2"/>
                  <dgm:constr type="r" for="ch" forName="desTx2" refType="w"/>
                  <dgm:constr type="t" for="ch" forName="desTx2" refType="t" refFor="ch" refForName="parTx2"/>
                  <dgm:constr type="h" for="ch" forName="desTx2" refType="h" refFor="ch" refForName="parTx2"/>
                </dgm:constrLst>
              </dgm:if>
              <dgm:else name="Name17">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4274"/>
                  <dgm:constr type="ctrY" for="ch" forName="dot1" refType="h" fact="0.5911"/>
                  <dgm:constr type="w" for="ch" forName="dot1" refType="userD"/>
                  <dgm:constr type="h" for="ch" forName="dot1" refType="userD"/>
                  <dgm:constr type="ctrX" for="ch" forName="dot2" refType="w" fact="0.4055"/>
                  <dgm:constr type="ctrY" for="ch" forName="dot2" refType="h" fact="0.644"/>
                  <dgm:constr type="w" for="ch" forName="dot2" refType="userD"/>
                  <dgm:constr type="h" for="ch" forName="dot2" refType="userD"/>
                  <dgm:constr type="ctrX" for="ch" forName="dot3" refType="w" fact="0.3794"/>
                  <dgm:constr type="ctrY" for="ch" forName="dot3" refType="h" fact="0.6898"/>
                  <dgm:constr type="w" for="ch" forName="dot3" refType="userD"/>
                  <dgm:constr type="h" for="ch" forName="dot3" refType="userD"/>
                  <dgm:constr type="ctrX" for="ch" forName="dotArrow1" refType="w" fact="0.4106"/>
                  <dgm:constr type="ctrY" for="ch" forName="dotArrow1" refType="h" fact="0.0587"/>
                  <dgm:constr type="w" for="ch" forName="dotArrow1" refType="userD"/>
                  <dgm:constr type="h" for="ch" forName="dotArrow1" refType="userD"/>
                  <dgm:constr type="ctrX" for="ch" forName="dotArrow2" refType="w" fact="0.444"/>
                  <dgm:constr type="ctrY" for="ch" forName="dotArrow2" refType="h" fact="0.0287"/>
                  <dgm:constr type="w" for="ch" forName="dotArrow2" refType="userD"/>
                  <dgm:constr type="h" for="ch" forName="dotArrow2" refType="userD"/>
                  <dgm:constr type="ctrX" for="ch" forName="dotArrow3" refType="w" fact="0.4773"/>
                  <dgm:constr type="ctrY" for="ch" forName="dotArrow3" refType="h" fact="-0.0013"/>
                  <dgm:constr type="w" for="ch" forName="dotArrow3" refType="userD"/>
                  <dgm:constr type="h" for="ch" forName="dotArrow3" refType="userD"/>
                  <dgm:constr type="ctrX" for="ch" forName="dotArrow4" refType="w" fact="0.5106"/>
                  <dgm:constr type="ctrY" for="ch" forName="dotArrow4" refType="h" fact="0.0287"/>
                  <dgm:constr type="w" for="ch" forName="dotArrow4" refType="userD"/>
                  <dgm:constr type="h" for="ch" forName="dotArrow4" refType="userD"/>
                  <dgm:constr type="ctrX" for="ch" forName="dotArrow5" refType="w" fact="0.544"/>
                  <dgm:constr type="ctrY" for="ch" forName="dotArrow5" refType="h" fact="0.0587"/>
                  <dgm:constr type="w" for="ch" forName="dotArrow5" refType="userD"/>
                  <dgm:constr type="h" for="ch" forName="dotArrow5" refType="userD"/>
                  <dgm:constr type="ctrX" for="ch" forName="dotArrow6" refType="w" fact="0.4773"/>
                  <dgm:constr type="ctrY" for="ch" forName="dotArrow6" refType="h" fact="0.062"/>
                  <dgm:constr type="w" for="ch" forName="dotArrow6" refType="userD"/>
                  <dgm:constr type="h" for="ch" forName="dotArrow6" refType="userD"/>
                  <dgm:constr type="ctrX" for="ch" forName="dotArrow7" refType="w" fact="0.4773"/>
                  <dgm:constr type="ctrY" for="ch" forName="dotArrow7" refType="h" fact="0.1253"/>
                  <dgm:constr type="w" for="ch" forName="dotArrow7" refType="userD"/>
                  <dgm:constr type="h" for="ch" forName="dotArrow7" refType="userD"/>
                  <dgm:constr type="l" for="ch" forName="parTx1" refType="w" fact="0.2614"/>
                  <dgm:constr type="t" for="ch" forName="parTx1" refType="h" fact="0.8086"/>
                  <dgm:constr type="w" for="ch" forName="parTx1" refType="w" fact="0.5392"/>
                  <dgm:constr type="h" for="ch" forName="parTx1" refType="h" fact="0.218"/>
                  <dgm:constr type="ctrX" for="ch" forName="picture1" refType="w" fact="0.2369"/>
                  <dgm:constr type="ctrY" for="ch" forName="picture1" refType="h" fact="0.7834"/>
                  <dgm:constr type="w" for="ch" forName="picture1" refType="w" fact="0.25"/>
                  <dgm:constr type="h" for="ch" forName="picture1" refType="h" fact="0.3768"/>
                  <dgm:constr type="l" for="ch" forName="parTx2" refType="w" fact="0.4893"/>
                  <dgm:constr type="t" for="ch" forName="parTx2" refType="h" fact="0.3822"/>
                  <dgm:constr type="w" for="ch" forName="parTx2" refType="w" fact="0.5392"/>
                  <dgm:constr type="h" for="ch" forName="parTx2" refType="h" fact="0.218"/>
                  <dgm:constr type="ctrX" for="ch" forName="picture2" refType="w" fact="0.4648"/>
                  <dgm:constr type="ctrY" for="ch" forName="picture2" refType="h" fact="0.357"/>
                  <dgm:constr type="w" for="ch" forName="picture2" refType="w" fact="0.25"/>
                  <dgm:constr type="h" for="ch" forName="picture2" refType="h" fact="0.3768"/>
                </dgm:constrLst>
              </dgm:else>
            </dgm:choose>
          </dgm:if>
          <dgm:else name="Name18">
            <dgm:choose name="Name19">
              <dgm:if name="Name20"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6779"/>
                  <dgm:constr type="ctrY" for="ch" forName="dot1" refType="h" fact="0.5911"/>
                  <dgm:constr type="w" for="ch" forName="dot1" refType="userD"/>
                  <dgm:constr type="h" for="ch" forName="dot1" refType="userD"/>
                  <dgm:constr type="ctrX" for="ch" forName="dot2" refType="w" fact="0.6944"/>
                  <dgm:constr type="ctrY" for="ch" forName="dot2" refType="h" fact="0.644"/>
                  <dgm:constr type="w" for="ch" forName="dot2" refType="userD"/>
                  <dgm:constr type="h" for="ch" forName="dot2" refType="userD"/>
                  <dgm:constr type="ctrX" for="ch" forName="dot3" refType="w" fact="0.7141"/>
                  <dgm:constr type="ctrY" for="ch" forName="dot3" refType="h" fact="0.6898"/>
                  <dgm:constr type="w" for="ch" forName="dot3" refType="userD"/>
                  <dgm:constr type="h" for="ch" forName="dot3" refType="userD"/>
                  <dgm:constr type="ctrX" for="ch" forName="dotArrow1" refType="w" fact="0.6905"/>
                  <dgm:constr type="ctrY" for="ch" forName="dotArrow1" refType="h" fact="0.0587"/>
                  <dgm:constr type="w" for="ch" forName="dotArrow1" refType="userD"/>
                  <dgm:constr type="h" for="ch" forName="dotArrow1" refType="userD"/>
                  <dgm:constr type="ctrX" for="ch" forName="dotArrow2" refType="w" fact="0.6654"/>
                  <dgm:constr type="ctrY" for="ch" forName="dotArrow2" refType="h" fact="0.0287"/>
                  <dgm:constr type="w" for="ch" forName="dotArrow2" refType="userD"/>
                  <dgm:constr type="h" for="ch" forName="dotArrow2" refType="userD"/>
                  <dgm:constr type="ctrX" for="ch" forName="dotArrow3" refType="w" fact="0.6403"/>
                  <dgm:constr type="ctrY" for="ch" forName="dotArrow3" refType="h" fact="-0.0013"/>
                  <dgm:constr type="w" for="ch" forName="dotArrow3" refType="userD"/>
                  <dgm:constr type="h" for="ch" forName="dotArrow3" refType="userD"/>
                  <dgm:constr type="ctrX" for="ch" forName="dotArrow4" refType="w" fact="0.6152"/>
                  <dgm:constr type="ctrY" for="ch" forName="dotArrow4" refType="h" fact="0.0287"/>
                  <dgm:constr type="w" for="ch" forName="dotArrow4" refType="userD"/>
                  <dgm:constr type="h" for="ch" forName="dotArrow4" refType="userD"/>
                  <dgm:constr type="ctrX" for="ch" forName="dotArrow5" refType="w" fact="0.59"/>
                  <dgm:constr type="ctrY" for="ch" forName="dotArrow5" refType="h" fact="0.0587"/>
                  <dgm:constr type="w" for="ch" forName="dotArrow5" refType="userD"/>
                  <dgm:constr type="h" for="ch" forName="dotArrow5" refType="userD"/>
                  <dgm:constr type="ctrX" for="ch" forName="dotArrow6" refType="w" fact="0.6403"/>
                  <dgm:constr type="ctrY" for="ch" forName="dotArrow6" refType="h" fact="0.062"/>
                  <dgm:constr type="w" for="ch" forName="dotArrow6" refType="userD"/>
                  <dgm:constr type="h" for="ch" forName="dotArrow6" refType="userD"/>
                  <dgm:constr type="ctrX" for="ch" forName="dotArrow7" refType="w" fact="0.6403"/>
                  <dgm:constr type="ctrY" for="ch" forName="dotArrow7" refType="h" fact="0.1253"/>
                  <dgm:constr type="w" for="ch" forName="dotArrow7" refType="userD"/>
                  <dgm:constr type="h" for="ch" forName="dotArrow7" refType="userD"/>
                  <dgm:constr type="r" for="ch" forName="parTx1" refType="w" fact="0.803"/>
                  <dgm:constr type="t" for="ch" forName="parTx1" refType="h" fact="0.8169"/>
                  <dgm:constr type="w" for="ch" forName="parTx1" refType="w" fact="0.4064"/>
                  <dgm:constr type="h" for="ch" forName="parTx1" refType="h" fact="0.218"/>
                  <dgm:constr type="ctrX" for="ch" forName="picture1" refType="w" fact="0.8215"/>
                  <dgm:constr type="ctrY" for="ch" forName="picture1" refType="h" fact="0.7834"/>
                  <dgm:constr type="w" for="ch" forName="picture1" refType="w" fact="0.1884"/>
                  <dgm:constr type="h" for="ch" forName="picture1" refType="h" fact="0.376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312"/>
                  <dgm:constr type="t" for="ch" forName="parTx2" refType="h" fact="0.3905"/>
                  <dgm:constr type="w" for="ch" forName="parTx2" refType="w" fact="0.4064"/>
                  <dgm:constr type="h" for="ch" forName="parTx2" refType="h" fact="0.218"/>
                  <dgm:constr type="ctrX" for="ch" forName="picture2" refType="w" fact="0.6497"/>
                  <dgm:constr type="ctrY" for="ch" forName="picture2" refType="h" fact="0.357"/>
                  <dgm:constr type="w" for="ch" forName="picture2" refType="w" fact="0.1884"/>
                  <dgm:constr type="h" for="ch" forName="picture2" refType="h" fact="0.3768"/>
                  <dgm:constr type="r" for="ch" forName="desTx2" refType="l" refFor="ch" refForName="parTx2"/>
                  <dgm:constr type="l" for="ch" forName="desTx2"/>
                  <dgm:constr type="t" for="ch" forName="desTx2" refType="t" refFor="ch" refForName="parTx2"/>
                  <dgm:constr type="h" for="ch" forName="desTx2" refType="h" refFor="ch" refForName="parTx2"/>
                </dgm:constrLst>
              </dgm:if>
              <dgm:else name="Name21">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5726"/>
                  <dgm:constr type="ctrY" for="ch" forName="dot1" refType="h" fact="0.5911"/>
                  <dgm:constr type="w" for="ch" forName="dot1" refType="userD"/>
                  <dgm:constr type="h" for="ch" forName="dot1" refType="userD"/>
                  <dgm:constr type="ctrX" for="ch" forName="dot2" refType="w" fact="0.5945"/>
                  <dgm:constr type="ctrY" for="ch" forName="dot2" refType="h" fact="0.644"/>
                  <dgm:constr type="w" for="ch" forName="dot2" refType="userD"/>
                  <dgm:constr type="h" for="ch" forName="dot2" refType="userD"/>
                  <dgm:constr type="ctrX" for="ch" forName="dot3" refType="w" fact="0.6206"/>
                  <dgm:constr type="ctrY" for="ch" forName="dot3" refType="h" fact="0.6898"/>
                  <dgm:constr type="w" for="ch" forName="dot3" refType="userD"/>
                  <dgm:constr type="h" for="ch" forName="dot3" refType="userD"/>
                  <dgm:constr type="ctrX" for="ch" forName="dotArrow1" refType="w" fact="0.5894"/>
                  <dgm:constr type="ctrY" for="ch" forName="dotArrow1" refType="h" fact="0.0587"/>
                  <dgm:constr type="w" for="ch" forName="dotArrow1" refType="userD"/>
                  <dgm:constr type="h" for="ch" forName="dotArrow1" refType="userD"/>
                  <dgm:constr type="ctrX" for="ch" forName="dotArrow2" refType="w" fact="0.556"/>
                  <dgm:constr type="ctrY" for="ch" forName="dotArrow2" refType="h" fact="0.0287"/>
                  <dgm:constr type="w" for="ch" forName="dotArrow2" refType="userD"/>
                  <dgm:constr type="h" for="ch" forName="dotArrow2" refType="userD"/>
                  <dgm:constr type="ctrX" for="ch" forName="dotArrow3" refType="w" fact="0.5227"/>
                  <dgm:constr type="ctrY" for="ch" forName="dotArrow3" refType="h" fact="-0.0013"/>
                  <dgm:constr type="w" for="ch" forName="dotArrow3" refType="userD"/>
                  <dgm:constr type="h" for="ch" forName="dotArrow3" refType="userD"/>
                  <dgm:constr type="ctrX" for="ch" forName="dotArrow4" refType="w" fact="0.4894"/>
                  <dgm:constr type="ctrY" for="ch" forName="dotArrow4" refType="h" fact="0.0287"/>
                  <dgm:constr type="w" for="ch" forName="dotArrow4" refType="userD"/>
                  <dgm:constr type="h" for="ch" forName="dotArrow4" refType="userD"/>
                  <dgm:constr type="ctrX" for="ch" forName="dotArrow5" refType="w" fact="0.456"/>
                  <dgm:constr type="ctrY" for="ch" forName="dotArrow5" refType="h" fact="0.0587"/>
                  <dgm:constr type="w" for="ch" forName="dotArrow5" refType="userD"/>
                  <dgm:constr type="h" for="ch" forName="dotArrow5" refType="userD"/>
                  <dgm:constr type="ctrX" for="ch" forName="dotArrow6" refType="w" fact="0.5227"/>
                  <dgm:constr type="ctrY" for="ch" forName="dotArrow6" refType="h" fact="0.062"/>
                  <dgm:constr type="w" for="ch" forName="dotArrow6" refType="userD"/>
                  <dgm:constr type="h" for="ch" forName="dotArrow6" refType="userD"/>
                  <dgm:constr type="ctrX" for="ch" forName="dotArrow7" refType="w" fact="0.5227"/>
                  <dgm:constr type="ctrY" for="ch" forName="dotArrow7" refType="h" fact="0.1253"/>
                  <dgm:constr type="w" for="ch" forName="dotArrow7" refType="userD"/>
                  <dgm:constr type="h" for="ch" forName="dotArrow7" refType="userD"/>
                  <dgm:constr type="r" for="ch" forName="parTx1" refType="w" fact="0.7386"/>
                  <dgm:constr type="t" for="ch" forName="parTx1" refType="h" fact="0.8086"/>
                  <dgm:constr type="w" for="ch" forName="parTx1" refType="w" fact="0.5392"/>
                  <dgm:constr type="h" for="ch" forName="parTx1" refType="h" fact="0.218"/>
                  <dgm:constr type="ctrX" for="ch" forName="picture1" refType="w" fact="0.7631"/>
                  <dgm:constr type="ctrY" for="ch" forName="picture1" refType="h" fact="0.7834"/>
                  <dgm:constr type="w" for="ch" forName="picture1" refType="w" fact="0.25"/>
                  <dgm:constr type="h" for="ch" forName="picture1" refType="h" fact="0.3768"/>
                  <dgm:constr type="r" for="ch" forName="parTx2" refType="w" fact="0.5107"/>
                  <dgm:constr type="t" for="ch" forName="parTx2" refType="h" fact="0.3822"/>
                  <dgm:constr type="w" for="ch" forName="parTx2" refType="w" fact="0.5392"/>
                  <dgm:constr type="h" for="ch" forName="parTx2" refType="h" fact="0.218"/>
                  <dgm:constr type="ctrX" for="ch" forName="picture2" refType="w" fact="0.5352"/>
                  <dgm:constr type="ctrY" for="ch" forName="picture2" refType="h" fact="0.357"/>
                  <dgm:constr type="w" for="ch" forName="picture2" refType="w" fact="0.25"/>
                  <dgm:constr type="h" for="ch" forName="picture2" refType="h" fact="0.3768"/>
                </dgm:constrLst>
              </dgm:else>
            </dgm:choose>
          </dgm:else>
        </dgm:choose>
      </dgm:if>
      <dgm:if name="Name22" axis="ch" ptType="node" func="cnt" op="equ" val="3">
        <dgm:choose name="Name23">
          <dgm:if name="Name24" func="var" arg="dir" op="equ" val="norm">
            <dgm:choose name="Name25">
              <dgm:if name="Name26"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2981"/>
                  <dgm:constr type="ctrY" for="ch" forName="dot1" refType="h" fact="0.763"/>
                  <dgm:constr type="w" for="ch" forName="dot1" refType="userD"/>
                  <dgm:constr type="h" for="ch" forName="dot1" refType="userD"/>
                  <dgm:constr type="ctrX" for="ch" forName="dot2" refType="w" fact="0.2676"/>
                  <dgm:constr type="ctrY" for="ch" forName="dot2" refType="h" fact="0.7887"/>
                  <dgm:constr type="w" for="ch" forName="dot2" refType="userD"/>
                  <dgm:constr type="h" for="ch" forName="dot2" refType="userD"/>
                  <dgm:constr type="ctrX" for="ch" forName="dot3" refType="w" fact="0.2357"/>
                  <dgm:constr type="ctrY" for="ch" forName="dot3" refType="h" fact="0.809"/>
                  <dgm:constr type="w" for="ch" forName="dot3" refType="userD"/>
                  <dgm:constr type="h" for="ch" forName="dot3" refType="userD"/>
                  <dgm:constr type="ctrX" for="ch" forName="dot4" refType="w" fact="0.4445"/>
                  <dgm:constr type="ctrY" for="ch" forName="dot4" refType="h" fact="0.4655"/>
                  <dgm:constr type="w" for="ch" forName="dot4" refType="userD"/>
                  <dgm:constr type="h" for="ch" forName="dot4" refType="userD"/>
                  <dgm:constr type="ctrX" for="ch" forName="dot5" refType="w" fact="0.4323"/>
                  <dgm:constr type="ctrY" for="ch" forName="dot5" refType="h" fact="0.5178"/>
                  <dgm:constr type="w" for="ch" forName="dot5" refType="userD"/>
                  <dgm:constr type="h" for="ch" forName="dot5" refType="userD"/>
                  <dgm:constr type="ctrX" for="ch" forName="dotArrow1" refType="w" fact="0.4236"/>
                  <dgm:constr type="ctrY" for="ch" forName="dotArrow1" refType="h" fact="0.0718"/>
                  <dgm:constr type="w" for="ch" forName="dotArrow1" refType="userD"/>
                  <dgm:constr type="h" for="ch" forName="dotArrow1" refType="userD"/>
                  <dgm:constr type="ctrX" for="ch" forName="dotArrow2" refType="w" fact="0.446"/>
                  <dgm:constr type="ctrY" for="ch" forName="dotArrow2" refType="h" fact="0.0468"/>
                  <dgm:constr type="w" for="ch" forName="dotArrow2" refType="userD"/>
                  <dgm:constr type="h" for="ch" forName="dotArrow2" refType="userD"/>
                  <dgm:constr type="ctrX" for="ch" forName="dotArrow3" refType="w" fact="0.4685"/>
                  <dgm:constr type="ctrY" for="ch" forName="dotArrow3" refType="h" fact="0.0218"/>
                  <dgm:constr type="w" for="ch" forName="dotArrow3" refType="userD"/>
                  <dgm:constr type="h" for="ch" forName="dotArrow3" refType="userD"/>
                  <dgm:constr type="ctrX" for="ch" forName="dotArrow4" refType="w" fact="0.491"/>
                  <dgm:constr type="ctrY" for="ch" forName="dotArrow4" refType="h" fact="0.0468"/>
                  <dgm:constr type="w" for="ch" forName="dotArrow4" refType="userD"/>
                  <dgm:constr type="h" for="ch" forName="dotArrow4" refType="userD"/>
                  <dgm:constr type="ctrX" for="ch" forName="dotArrow5" refType="w" fact="0.5135"/>
                  <dgm:constr type="ctrY" for="ch" forName="dotArrow5" refType="h" fact="0.0718"/>
                  <dgm:constr type="w" for="ch" forName="dotArrow5" refType="userD"/>
                  <dgm:constr type="h" for="ch" forName="dotArrow5" refType="userD"/>
                  <dgm:constr type="ctrX" for="ch" forName="dotArrow6" refType="w" fact="0.4685"/>
                  <dgm:constr type="ctrY" for="ch" forName="dotArrow6" refType="h" fact="0.0745"/>
                  <dgm:constr type="w" for="ch" forName="dotArrow6" refType="userD"/>
                  <dgm:constr type="h" for="ch" forName="dotArrow6" refType="userD"/>
                  <dgm:constr type="ctrX" for="ch" forName="dotArrow7" refType="w" fact="0.4685"/>
                  <dgm:constr type="ctrY" for="ch" forName="dotArrow7" refType="h" fact="0.1273"/>
                  <dgm:constr type="w" for="ch" forName="dotArrow7" refType="userD"/>
                  <dgm:constr type="h" for="ch" forName="dotArrow7" refType="userD"/>
                  <dgm:constr type="l" for="ch" forName="parTx1" refType="w" fact="0.1487"/>
                  <dgm:constr type="t" for="ch" forName="parTx1" refType="h" fact="0.8596"/>
                  <dgm:constr type="w" for="ch" forName="parTx1" refType="w" fact="0.3491"/>
                  <dgm:constr type="h" for="ch" forName="parTx1" refType="h" fact="0.1638"/>
                  <dgm:constr type="ctrX" for="ch" forName="picture1" refType="w" fact="0.1328"/>
                  <dgm:constr type="ctrY" for="ch" forName="picture1" refType="h" fact="0.8361"/>
                  <dgm:constr type="w" for="ch" forName="picture1" refType="w" fact="0.1618"/>
                  <dgm:constr type="h" for="ch" forName="picture1" refType="h" fact="0.2832"/>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732"/>
                  <dgm:constr type="t" for="ch" forName="parTx2" refType="h" fact="0.6469"/>
                  <dgm:constr type="w" for="ch" forName="parTx2" refType="w" fact="0.3491"/>
                  <dgm:constr type="h" for="ch" forName="parTx2" refType="h" fact="0.1638"/>
                  <dgm:constr type="ctrX" for="ch" forName="picture2" refType="w" fact="0.3573"/>
                  <dgm:constr type="ctrY" for="ch" forName="picture2" refType="h" fact="0.6234"/>
                  <dgm:constr type="w" for="ch" forName="picture2" refType="w" fact="0.1618"/>
                  <dgm:constr type="h" for="ch" forName="picture2" refType="h" fact="0.2832"/>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4763"/>
                  <dgm:constr type="t" for="ch" forName="parTx3" refType="h" fact="0.3243"/>
                  <dgm:constr type="w" for="ch" forName="parTx3" refType="w" fact="0.3491"/>
                  <dgm:constr type="h" for="ch" forName="parTx3" refType="h" fact="0.1638"/>
                  <dgm:constr type="ctrX" for="ch" forName="picture3" refType="w" fact="0.4604"/>
                  <dgm:constr type="ctrY" for="ch" forName="picture3" refType="h" fact="0.3008"/>
                  <dgm:constr type="w" for="ch" forName="picture3" refType="w" fact="0.1618"/>
                  <dgm:constr type="h" for="ch" forName="picture3" refType="h" fact="0.2832"/>
                  <dgm:constr type="l" for="ch" forName="desTx3" refType="r" refFor="ch" refForName="parTx3"/>
                  <dgm:constr type="r" for="ch" forName="desTx3" refType="w"/>
                  <dgm:constr type="t" for="ch" forName="desTx3" refType="t" refFor="ch" refForName="parTx3"/>
                  <dgm:constr type="h" for="ch" forName="desTx3" refType="h" refFor="ch" refForName="parTx3"/>
                </dgm:constrLst>
              </dgm:if>
              <dgm:else name="Name27">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3684"/>
                  <dgm:constr type="ctrY" for="ch" forName="dot1" refType="h" fact="0.763"/>
                  <dgm:constr type="w" for="ch" forName="dot1" refType="userD"/>
                  <dgm:constr type="h" for="ch" forName="dot1" refType="userD"/>
                  <dgm:constr type="ctrX" for="ch" forName="dot2" refType="w" fact="0.3307"/>
                  <dgm:constr type="ctrY" for="ch" forName="dot2" refType="h" fact="0.7887"/>
                  <dgm:constr type="w" for="ch" forName="dot2" refType="userD"/>
                  <dgm:constr type="h" for="ch" forName="dot2" refType="userD"/>
                  <dgm:constr type="ctrX" for="ch" forName="dot3" refType="w" fact="0.2912"/>
                  <dgm:constr type="ctrY" for="ch" forName="dot3" refType="h" fact="0.809"/>
                  <dgm:constr type="w" for="ch" forName="dot3" refType="userD"/>
                  <dgm:constr type="h" for="ch" forName="dot3" refType="userD"/>
                  <dgm:constr type="ctrX" for="ch" forName="dot4" refType="w" fact="0.5494"/>
                  <dgm:constr type="ctrY" for="ch" forName="dot4" refType="h" fact="0.4655"/>
                  <dgm:constr type="w" for="ch" forName="dot4" refType="userD"/>
                  <dgm:constr type="h" for="ch" forName="dot4" refType="userD"/>
                  <dgm:constr type="ctrX" for="ch" forName="dot5" refType="w" fact="0.5342"/>
                  <dgm:constr type="ctrY" for="ch" forName="dot5" refType="h" fact="0.5178"/>
                  <dgm:constr type="w" for="ch" forName="dot5" refType="userD"/>
                  <dgm:constr type="h" for="ch" forName="dot5" refType="userD"/>
                  <dgm:constr type="ctrX" for="ch" forName="dotArrow1" refType="w" fact="0.5234"/>
                  <dgm:constr type="ctrY" for="ch" forName="dotArrow1" refType="h" fact="0.0718"/>
                  <dgm:constr type="w" for="ch" forName="dotArrow1" refType="userD"/>
                  <dgm:constr type="h" for="ch" forName="dotArrow1" refType="userD"/>
                  <dgm:constr type="ctrX" for="ch" forName="dotArrow2" refType="w" fact="0.5512"/>
                  <dgm:constr type="ctrY" for="ch" forName="dotArrow2" refType="h" fact="0.0468"/>
                  <dgm:constr type="w" for="ch" forName="dotArrow2" refType="userD"/>
                  <dgm:constr type="h" for="ch" forName="dotArrow2" refType="userD"/>
                  <dgm:constr type="ctrX" for="ch" forName="dotArrow3" refType="w" fact="0.579"/>
                  <dgm:constr type="ctrY" for="ch" forName="dotArrow3" refType="h" fact="0.0218"/>
                  <dgm:constr type="w" for="ch" forName="dotArrow3" refType="userD"/>
                  <dgm:constr type="h" for="ch" forName="dotArrow3" refType="userD"/>
                  <dgm:constr type="ctrX" for="ch" forName="dotArrow4" refType="w" fact="0.6068"/>
                  <dgm:constr type="ctrY" for="ch" forName="dotArrow4" refType="h" fact="0.0468"/>
                  <dgm:constr type="w" for="ch" forName="dotArrow4" refType="userD"/>
                  <dgm:constr type="h" for="ch" forName="dotArrow4" refType="userD"/>
                  <dgm:constr type="ctrX" for="ch" forName="dotArrow5" refType="w" fact="0.6346"/>
                  <dgm:constr type="ctrY" for="ch" forName="dotArrow5" refType="h" fact="0.0718"/>
                  <dgm:constr type="w" for="ch" forName="dotArrow5" refType="userD"/>
                  <dgm:constr type="h" for="ch" forName="dotArrow5" refType="userD"/>
                  <dgm:constr type="ctrX" for="ch" forName="dotArrow6" refType="w" fact="0.579"/>
                  <dgm:constr type="ctrY" for="ch" forName="dotArrow6" refType="h" fact="0.0745"/>
                  <dgm:constr type="w" for="ch" forName="dotArrow6" refType="userD"/>
                  <dgm:constr type="h" for="ch" forName="dotArrow6" refType="userD"/>
                  <dgm:constr type="ctrX" for="ch" forName="dotArrow7" refType="w" fact="0.579"/>
                  <dgm:constr type="ctrY" for="ch" forName="dotArrow7" refType="h" fact="0.1273"/>
                  <dgm:constr type="w" for="ch" forName="dotArrow7" refType="userD"/>
                  <dgm:constr type="h" for="ch" forName="dotArrow7" refType="userD"/>
                  <dgm:constr type="l" for="ch" forName="parTx1" refType="w" fact="0.1837"/>
                  <dgm:constr type="t" for="ch" forName="parTx1" refType="h" fact="0.8551"/>
                  <dgm:constr type="w" for="ch" forName="parTx1" refType="w" fact="0.4314"/>
                  <dgm:constr type="h" for="ch" forName="parTx1" refType="h" fact="0.1638"/>
                  <dgm:constr type="ctrX" for="ch" forName="picture1" refType="w" fact="0.1641"/>
                  <dgm:constr type="ctrY" for="ch" forName="picture1" refType="h" fact="0.8361"/>
                  <dgm:constr type="w" for="ch" forName="picture1" refType="w" fact="0.2"/>
                  <dgm:constr type="h" for="ch" forName="picture1" refType="h" fact="0.2832"/>
                  <dgm:constr type="l" for="ch" forName="parTx2" refType="w" fact="0.4612"/>
                  <dgm:constr type="t" for="ch" forName="parTx2" refType="h" fact="0.6424"/>
                  <dgm:constr type="w" for="ch" forName="parTx2" refType="w" fact="0.4314"/>
                  <dgm:constr type="h" for="ch" forName="parTx2" refType="h" fact="0.1638"/>
                  <dgm:constr type="ctrX" for="ch" forName="picture2" refType="w" fact="0.4416"/>
                  <dgm:constr type="ctrY" for="ch" forName="picture2" refType="h" fact="0.6234"/>
                  <dgm:constr type="w" for="ch" forName="picture2" refType="w" fact="0.2"/>
                  <dgm:constr type="h" for="ch" forName="picture2" refType="h" fact="0.2832"/>
                  <dgm:constr type="l" for="ch" forName="parTx3" refType="w" fact="0.5886"/>
                  <dgm:constr type="t" for="ch" forName="parTx3" refType="h" fact="0.3198"/>
                  <dgm:constr type="w" for="ch" forName="parTx3" refType="w" fact="0.4314"/>
                  <dgm:constr type="h" for="ch" forName="parTx3" refType="h" fact="0.1638"/>
                  <dgm:constr type="ctrX" for="ch" forName="picture3" refType="w" fact="0.569"/>
                  <dgm:constr type="ctrY" for="ch" forName="picture3" refType="h" fact="0.3008"/>
                  <dgm:constr type="w" for="ch" forName="picture3" refType="w" fact="0.2"/>
                  <dgm:constr type="h" for="ch" forName="picture3" refType="h" fact="0.2832"/>
                </dgm:constrLst>
              </dgm:else>
            </dgm:choose>
          </dgm:if>
          <dgm:else name="Name28">
            <dgm:choose name="Name29">
              <dgm:if name="Name30"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7019"/>
                  <dgm:constr type="ctrY" for="ch" forName="dot1" refType="h" fact="0.763"/>
                  <dgm:constr type="w" for="ch" forName="dot1" refType="userD"/>
                  <dgm:constr type="h" for="ch" forName="dot1" refType="userD"/>
                  <dgm:constr type="ctrX" for="ch" forName="dot2" refType="w" fact="0.7324"/>
                  <dgm:constr type="ctrY" for="ch" forName="dot2" refType="h" fact="0.7887"/>
                  <dgm:constr type="w" for="ch" forName="dot2" refType="userD"/>
                  <dgm:constr type="h" for="ch" forName="dot2" refType="userD"/>
                  <dgm:constr type="ctrX" for="ch" forName="dot3" refType="w" fact="0.7643"/>
                  <dgm:constr type="ctrY" for="ch" forName="dot3" refType="h" fact="0.809"/>
                  <dgm:constr type="w" for="ch" forName="dot3" refType="userD"/>
                  <dgm:constr type="h" for="ch" forName="dot3" refType="userD"/>
                  <dgm:constr type="ctrX" for="ch" forName="dot4" refType="w" fact="0.5555"/>
                  <dgm:constr type="ctrY" for="ch" forName="dot4" refType="h" fact="0.4655"/>
                  <dgm:constr type="w" for="ch" forName="dot4" refType="userD"/>
                  <dgm:constr type="h" for="ch" forName="dot4" refType="userD"/>
                  <dgm:constr type="ctrX" for="ch" forName="dot5" refType="w" fact="0.5677"/>
                  <dgm:constr type="ctrY" for="ch" forName="dot5" refType="h" fact="0.5178"/>
                  <dgm:constr type="w" for="ch" forName="dot5" refType="userD"/>
                  <dgm:constr type="h" for="ch" forName="dot5" refType="userD"/>
                  <dgm:constr type="ctrX" for="ch" forName="dotArrow1" refType="w" fact="0.5764"/>
                  <dgm:constr type="ctrY" for="ch" forName="dotArrow1" refType="h" fact="0.0718"/>
                  <dgm:constr type="w" for="ch" forName="dotArrow1" refType="userD"/>
                  <dgm:constr type="h" for="ch" forName="dotArrow1" refType="userD"/>
                  <dgm:constr type="ctrX" for="ch" forName="dotArrow2" refType="w" fact="0.554"/>
                  <dgm:constr type="ctrY" for="ch" forName="dotArrow2" refType="h" fact="0.0468"/>
                  <dgm:constr type="w" for="ch" forName="dotArrow2" refType="userD"/>
                  <dgm:constr type="h" for="ch" forName="dotArrow2" refType="userD"/>
                  <dgm:constr type="ctrX" for="ch" forName="dotArrow3" refType="w" fact="0.5315"/>
                  <dgm:constr type="ctrY" for="ch" forName="dotArrow3" refType="h" fact="0.0218"/>
                  <dgm:constr type="w" for="ch" forName="dotArrow3" refType="userD"/>
                  <dgm:constr type="h" for="ch" forName="dotArrow3" refType="userD"/>
                  <dgm:constr type="ctrX" for="ch" forName="dotArrow4" refType="w" fact="0.509"/>
                  <dgm:constr type="ctrY" for="ch" forName="dotArrow4" refType="h" fact="0.0468"/>
                  <dgm:constr type="w" for="ch" forName="dotArrow4" refType="userD"/>
                  <dgm:constr type="h" for="ch" forName="dotArrow4" refType="userD"/>
                  <dgm:constr type="ctrX" for="ch" forName="dotArrow5" refType="w" fact="0.4865"/>
                  <dgm:constr type="ctrY" for="ch" forName="dotArrow5" refType="h" fact="0.0718"/>
                  <dgm:constr type="w" for="ch" forName="dotArrow5" refType="userD"/>
                  <dgm:constr type="h" for="ch" forName="dotArrow5" refType="userD"/>
                  <dgm:constr type="ctrX" for="ch" forName="dotArrow6" refType="w" fact="0.5315"/>
                  <dgm:constr type="ctrY" for="ch" forName="dotArrow6" refType="h" fact="0.0745"/>
                  <dgm:constr type="w" for="ch" forName="dotArrow6" refType="userD"/>
                  <dgm:constr type="h" for="ch" forName="dotArrow6" refType="userD"/>
                  <dgm:constr type="ctrX" for="ch" forName="dotArrow7" refType="w" fact="0.5315"/>
                  <dgm:constr type="ctrY" for="ch" forName="dotArrow7" refType="h" fact="0.1273"/>
                  <dgm:constr type="w" for="ch" forName="dotArrow7" refType="userD"/>
                  <dgm:constr type="h" for="ch" forName="dotArrow7" refType="userD"/>
                  <dgm:constr type="r" for="ch" forName="parTx1" refType="w" fact="0.8513"/>
                  <dgm:constr type="t" for="ch" forName="parTx1" refType="h" fact="0.8596"/>
                  <dgm:constr type="w" for="ch" forName="parTx1" refType="w" fact="0.3491"/>
                  <dgm:constr type="h" for="ch" forName="parTx1" refType="h" fact="0.1638"/>
                  <dgm:constr type="ctrX" for="ch" forName="picture1" refType="w" fact="0.8672"/>
                  <dgm:constr type="ctrY" for="ch" forName="picture1" refType="h" fact="0.8361"/>
                  <dgm:constr type="w" for="ch" forName="picture1" refType="w" fact="0.1618"/>
                  <dgm:constr type="h" for="ch" forName="picture1" refType="h" fact="0.2832"/>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268"/>
                  <dgm:constr type="t" for="ch" forName="parTx2" refType="h" fact="0.6469"/>
                  <dgm:constr type="w" for="ch" forName="parTx2" refType="w" fact="0.3491"/>
                  <dgm:constr type="h" for="ch" forName="parTx2" refType="h" fact="0.1638"/>
                  <dgm:constr type="ctrX" for="ch" forName="picture2" refType="w" fact="0.6427"/>
                  <dgm:constr type="ctrY" for="ch" forName="picture2" refType="h" fact="0.6234"/>
                  <dgm:constr type="w" for="ch" forName="picture2" refType="w" fact="0.1618"/>
                  <dgm:constr type="h" for="ch" forName="picture2" refType="h" fact="0.2832"/>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5237"/>
                  <dgm:constr type="t" for="ch" forName="parTx3" refType="h" fact="0.3243"/>
                  <dgm:constr type="w" for="ch" forName="parTx3" refType="w" fact="0.3491"/>
                  <dgm:constr type="h" for="ch" forName="parTx3" refType="h" fact="0.1638"/>
                  <dgm:constr type="ctrX" for="ch" forName="picture3" refType="w" fact="0.5396"/>
                  <dgm:constr type="ctrY" for="ch" forName="picture3" refType="h" fact="0.3008"/>
                  <dgm:constr type="w" for="ch" forName="picture3" refType="w" fact="0.1618"/>
                  <dgm:constr type="h" for="ch" forName="picture3" refType="h" fact="0.2832"/>
                  <dgm:constr type="r" for="ch" forName="desTx3" refType="l" refFor="ch" refForName="parTx3"/>
                  <dgm:constr type="l" for="ch" forName="desTx3"/>
                  <dgm:constr type="t" for="ch" forName="desTx3" refType="t" refFor="ch" refForName="parTx3"/>
                  <dgm:constr type="h" for="ch" forName="desTx3" refType="h" refFor="ch" refForName="parTx3"/>
                </dgm:constrLst>
              </dgm:if>
              <dgm:else name="Name31">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6316"/>
                  <dgm:constr type="ctrY" for="ch" forName="dot1" refType="h" fact="0.763"/>
                  <dgm:constr type="w" for="ch" forName="dot1" refType="userD"/>
                  <dgm:constr type="h" for="ch" forName="dot1" refType="userD"/>
                  <dgm:constr type="ctrX" for="ch" forName="dot2" refType="w" fact="0.6693"/>
                  <dgm:constr type="ctrY" for="ch" forName="dot2" refType="h" fact="0.7887"/>
                  <dgm:constr type="w" for="ch" forName="dot2" refType="userD"/>
                  <dgm:constr type="h" for="ch" forName="dot2" refType="userD"/>
                  <dgm:constr type="ctrX" for="ch" forName="dot3" refType="w" fact="0.7088"/>
                  <dgm:constr type="ctrY" for="ch" forName="dot3" refType="h" fact="0.809"/>
                  <dgm:constr type="w" for="ch" forName="dot3" refType="userD"/>
                  <dgm:constr type="h" for="ch" forName="dot3" refType="userD"/>
                  <dgm:constr type="ctrX" for="ch" forName="dot4" refType="w" fact="0.4506"/>
                  <dgm:constr type="ctrY" for="ch" forName="dot4" refType="h" fact="0.4655"/>
                  <dgm:constr type="w" for="ch" forName="dot4" refType="userD"/>
                  <dgm:constr type="h" for="ch" forName="dot4" refType="userD"/>
                  <dgm:constr type="ctrX" for="ch" forName="dot5" refType="w" fact="0.4658"/>
                  <dgm:constr type="ctrY" for="ch" forName="dot5" refType="h" fact="0.5178"/>
                  <dgm:constr type="w" for="ch" forName="dot5" refType="userD"/>
                  <dgm:constr type="h" for="ch" forName="dot5" refType="userD"/>
                  <dgm:constr type="ctrX" for="ch" forName="dotArrow1" refType="w" fact="0.4766"/>
                  <dgm:constr type="ctrY" for="ch" forName="dotArrow1" refType="h" fact="0.0718"/>
                  <dgm:constr type="w" for="ch" forName="dotArrow1" refType="userD"/>
                  <dgm:constr type="h" for="ch" forName="dotArrow1" refType="userD"/>
                  <dgm:constr type="ctrX" for="ch" forName="dotArrow2" refType="w" fact="0.4488"/>
                  <dgm:constr type="ctrY" for="ch" forName="dotArrow2" refType="h" fact="0.0468"/>
                  <dgm:constr type="w" for="ch" forName="dotArrow2" refType="userD"/>
                  <dgm:constr type="h" for="ch" forName="dotArrow2" refType="userD"/>
                  <dgm:constr type="ctrX" for="ch" forName="dotArrow3" refType="w" fact="0.421"/>
                  <dgm:constr type="ctrY" for="ch" forName="dotArrow3" refType="h" fact="0.0218"/>
                  <dgm:constr type="w" for="ch" forName="dotArrow3" refType="userD"/>
                  <dgm:constr type="h" for="ch" forName="dotArrow3" refType="userD"/>
                  <dgm:constr type="ctrX" for="ch" forName="dotArrow4" refType="w" fact="0.3932"/>
                  <dgm:constr type="ctrY" for="ch" forName="dotArrow4" refType="h" fact="0.0468"/>
                  <dgm:constr type="w" for="ch" forName="dotArrow4" refType="userD"/>
                  <dgm:constr type="h" for="ch" forName="dotArrow4" refType="userD"/>
                  <dgm:constr type="ctrX" for="ch" forName="dotArrow5" refType="w" fact="0.3654"/>
                  <dgm:constr type="ctrY" for="ch" forName="dotArrow5" refType="h" fact="0.0718"/>
                  <dgm:constr type="w" for="ch" forName="dotArrow5" refType="userD"/>
                  <dgm:constr type="h" for="ch" forName="dotArrow5" refType="userD"/>
                  <dgm:constr type="ctrX" for="ch" forName="dotArrow6" refType="w" fact="0.421"/>
                  <dgm:constr type="ctrY" for="ch" forName="dotArrow6" refType="h" fact="0.0745"/>
                  <dgm:constr type="w" for="ch" forName="dotArrow6" refType="userD"/>
                  <dgm:constr type="h" for="ch" forName="dotArrow6" refType="userD"/>
                  <dgm:constr type="ctrX" for="ch" forName="dotArrow7" refType="w" fact="0.421"/>
                  <dgm:constr type="ctrY" for="ch" forName="dotArrow7" refType="h" fact="0.1273"/>
                  <dgm:constr type="w" for="ch" forName="dotArrow7" refType="userD"/>
                  <dgm:constr type="h" for="ch" forName="dotArrow7" refType="userD"/>
                  <dgm:constr type="r" for="ch" forName="parTx1" refType="w" fact="0.8163"/>
                  <dgm:constr type="t" for="ch" forName="parTx1" refType="h" fact="0.8551"/>
                  <dgm:constr type="w" for="ch" forName="parTx1" refType="w" fact="0.4314"/>
                  <dgm:constr type="h" for="ch" forName="parTx1" refType="h" fact="0.1638"/>
                  <dgm:constr type="ctrX" for="ch" forName="picture1" refType="w" fact="0.8359"/>
                  <dgm:constr type="ctrY" for="ch" forName="picture1" refType="h" fact="0.8361"/>
                  <dgm:constr type="w" for="ch" forName="picture1" refType="w" fact="0.2"/>
                  <dgm:constr type="h" for="ch" forName="picture1" refType="h" fact="0.2832"/>
                  <dgm:constr type="r" for="ch" forName="parTx2" refType="w" fact="0.5388"/>
                  <dgm:constr type="t" for="ch" forName="parTx2" refType="h" fact="0.6424"/>
                  <dgm:constr type="w" for="ch" forName="parTx2" refType="w" fact="0.4314"/>
                  <dgm:constr type="h" for="ch" forName="parTx2" refType="h" fact="0.1638"/>
                  <dgm:constr type="ctrX" for="ch" forName="picture2" refType="w" fact="0.5584"/>
                  <dgm:constr type="ctrY" for="ch" forName="picture2" refType="h" fact="0.6234"/>
                  <dgm:constr type="w" for="ch" forName="picture2" refType="w" fact="0.2"/>
                  <dgm:constr type="h" for="ch" forName="picture2" refType="h" fact="0.2832"/>
                  <dgm:constr type="r" for="ch" forName="parTx3" refType="w" fact="0.4114"/>
                  <dgm:constr type="t" for="ch" forName="parTx3" refType="h" fact="0.3198"/>
                  <dgm:constr type="w" for="ch" forName="parTx3" refType="w" fact="0.4314"/>
                  <dgm:constr type="h" for="ch" forName="parTx3" refType="h" fact="0.1638"/>
                  <dgm:constr type="ctrX" for="ch" forName="picture3" refType="w" fact="0.431"/>
                  <dgm:constr type="ctrY" for="ch" forName="picture3" refType="h" fact="0.3008"/>
                  <dgm:constr type="w" for="ch" forName="picture3" refType="w" fact="0.2"/>
                  <dgm:constr type="h" for="ch" forName="picture3" refType="h" fact="0.2832"/>
                </dgm:constrLst>
              </dgm:else>
            </dgm:choose>
          </dgm:else>
        </dgm:choose>
      </dgm:if>
      <dgm:if name="Name32" axis="ch" ptType="node" func="cnt" op="equ" val="4">
        <dgm:choose name="Name33">
          <dgm:if name="Name34" func="var" arg="dir" op="equ" val="norm">
            <dgm:choose name="Name35">
              <dgm:if name="Name36"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3253"/>
                  <dgm:constr type="ctrY" for="ch" forName="dot1" refType="h" fact="0.8215"/>
                  <dgm:constr type="w" for="ch" forName="dot1" refType="userD"/>
                  <dgm:constr type="h" for="ch" forName="dot1" refType="userD"/>
                  <dgm:constr type="ctrX" for="ch" forName="dot2" refType="w" fact="0.2949"/>
                  <dgm:constr type="ctrY" for="ch" forName="dot2" refType="h" fact="0.843"/>
                  <dgm:constr type="w" for="ch" forName="dot2" refType="userD"/>
                  <dgm:constr type="h" for="ch" forName="dot2" refType="userD"/>
                  <dgm:constr type="ctrX" for="ch" forName="dot3" refType="w" fact="0.2635"/>
                  <dgm:constr type="ctrY" for="ch" forName="dot3" refType="h" fact="0.8607"/>
                  <dgm:constr type="w" for="ch" forName="dot3" refType="userD"/>
                  <dgm:constr type="h" for="ch" forName="dot3" refType="userD"/>
                  <dgm:constr type="ctrX" for="ch" forName="dot4" refType="w" fact="0.2313"/>
                  <dgm:constr type="ctrY" for="ch" forName="dot4" refType="h" fact="0.8745"/>
                  <dgm:constr type="w" for="ch" forName="dot4" refType="userD"/>
                  <dgm:constr type="h" for="ch" forName="dot4" refType="userD"/>
                  <dgm:constr type="ctrX" for="ch" forName="dot5" refType="w" fact="0.4675"/>
                  <dgm:constr type="ctrY" for="ch" forName="dot5" refType="h" fact="0.6419"/>
                  <dgm:constr type="w" for="ch" forName="dot5" refType="userD"/>
                  <dgm:constr type="h" for="ch" forName="dot5" refType="userD"/>
                  <dgm:constr type="ctrX" for="ch" forName="dot6" refType="w" fact="0.5486"/>
                  <dgm:constr type="ctrY" for="ch" forName="dot6" refType="h" fact="0.3784"/>
                  <dgm:constr type="w" for="ch" forName="dot6" refType="userD"/>
                  <dgm:constr type="h" for="ch" forName="dot6" refType="userD"/>
                  <dgm:constr type="ctrX" for="ch" forName="dotArrow1" refType="w" fact="0.5267"/>
                  <dgm:constr type="ctrY" for="ch" forName="dotArrow1" refType="h" fact="0.0496"/>
                  <dgm:constr type="w" for="ch" forName="dotArrow1" refType="userD"/>
                  <dgm:constr type="h" for="ch" forName="dotArrow1" refType="userD"/>
                  <dgm:constr type="ctrX" for="ch" forName="dotArrow2" refType="w" fact="0.5462"/>
                  <dgm:constr type="ctrY" for="ch" forName="dotArrow2" refType="h" fact="0.0282"/>
                  <dgm:constr type="w" for="ch" forName="dotArrow2" refType="userD"/>
                  <dgm:constr type="h" for="ch" forName="dotArrow2" refType="userD"/>
                  <dgm:constr type="ctrX" for="ch" forName="dotArrow3" refType="w" fact="0.5657"/>
                  <dgm:constr type="ctrY" for="ch" forName="dotArrow3" refType="h" fact="0.0068"/>
                  <dgm:constr type="w" for="ch" forName="dotArrow3" refType="userD"/>
                  <dgm:constr type="h" for="ch" forName="dotArrow3" refType="userD"/>
                  <dgm:constr type="ctrX" for="ch" forName="dotArrow4" refType="w" fact="0.5851"/>
                  <dgm:constr type="ctrY" for="ch" forName="dotArrow4" refType="h" fact="0.0282"/>
                  <dgm:constr type="w" for="ch" forName="dotArrow4" refType="userD"/>
                  <dgm:constr type="h" for="ch" forName="dotArrow4" refType="userD"/>
                  <dgm:constr type="ctrX" for="ch" forName="dotArrow5" refType="w" fact="0.6046"/>
                  <dgm:constr type="ctrY" for="ch" forName="dotArrow5" refType="h" fact="0.0496"/>
                  <dgm:constr type="w" for="ch" forName="dotArrow5" refType="userD"/>
                  <dgm:constr type="h" for="ch" forName="dotArrow5" refType="userD"/>
                  <dgm:constr type="ctrX" for="ch" forName="dotArrow6" refType="w" fact="0.5657"/>
                  <dgm:constr type="ctrY" for="ch" forName="dotArrow6" refType="h" fact="0.052"/>
                  <dgm:constr type="w" for="ch" forName="dotArrow6" refType="userD"/>
                  <dgm:constr type="h" for="ch" forName="dotArrow6" refType="userD"/>
                  <dgm:constr type="ctrX" for="ch" forName="dotArrow7" refType="w" fact="0.5657"/>
                  <dgm:constr type="ctrY" for="ch" forName="dotArrow7" refType="h" fact="0.0972"/>
                  <dgm:constr type="w" for="ch" forName="dotArrow7" refType="userD"/>
                  <dgm:constr type="h" for="ch" forName="dotArrow7" refType="userD"/>
                  <dgm:constr type="l" for="ch" forName="parTx1" refType="w" fact="0.1466"/>
                  <dgm:constr type="t" for="ch" forName="parTx1" refType="h" fact="0.9095"/>
                  <dgm:constr type="w" for="ch" forName="parTx1" refType="w" fact="0.294"/>
                  <dgm:constr type="h" for="ch" forName="parTx1" refType="h" fact="0.1222"/>
                  <dgm:constr type="ctrX" for="ch" forName="picture1" refType="w" fact="0.1333"/>
                  <dgm:constr type="ctrY" for="ch" forName="picture1" refType="h" fact="0.8922"/>
                  <dgm:constr type="w" for="ch" forName="picture1" refType="w" fact="0.1363"/>
                  <dgm:constr type="h" for="ch" forName="picture1" refType="h" fact="0.211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105"/>
                  <dgm:constr type="t" for="ch" forName="parTx2" refType="h" fact="0.762"/>
                  <dgm:constr type="w" for="ch" forName="parTx2" refType="w" fact="0.294"/>
                  <dgm:constr type="h" for="ch" forName="parTx2" refType="h" fact="0.1222"/>
                  <dgm:constr type="ctrX" for="ch" forName="picture2" refType="w" fact="0.3972"/>
                  <dgm:constr type="ctrY" for="ch" forName="picture2" refType="h" fact="0.7447"/>
                  <dgm:constr type="w" for="ch" forName="picture2" refType="w" fact="0.1363"/>
                  <dgm:constr type="h" for="ch" forName="picture2" refType="h" fact="0.211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229"/>
                  <dgm:constr type="t" for="ch" forName="parTx3" refType="h" fact="0.5294"/>
                  <dgm:constr type="w" for="ch" forName="parTx3" refType="w" fact="0.294"/>
                  <dgm:constr type="h" for="ch" forName="parTx3" refType="h" fact="0.1222"/>
                  <dgm:constr type="ctrX" for="ch" forName="picture3" refType="w" fact="0.5095"/>
                  <dgm:constr type="ctrY" for="ch" forName="picture3" refType="h" fact="0.5121"/>
                  <dgm:constr type="w" for="ch" forName="picture3" refType="w" fact="0.1363"/>
                  <dgm:constr type="h" for="ch" forName="picture3" refType="h" fact="0.211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722"/>
                  <dgm:constr type="t" for="ch" forName="parTx4" refType="h" fact="0.2523"/>
                  <dgm:constr type="w" for="ch" forName="parTx4" refType="w" fact="0.294"/>
                  <dgm:constr type="h" for="ch" forName="parTx4" refType="h" fact="0.1222"/>
                  <dgm:constr type="ctrX" for="ch" forName="picture4" refType="w" fact="0.5588"/>
                  <dgm:constr type="ctrY" for="ch" forName="picture4" refType="h" fact="0.235"/>
                  <dgm:constr type="w" for="ch" forName="picture4" refType="w" fact="0.1363"/>
                  <dgm:constr type="h" for="ch" forName="picture4" refType="h" fact="0.2113"/>
                  <dgm:constr type="l" for="ch" forName="desTx4" refType="r" refFor="ch" refForName="parTx4"/>
                  <dgm:constr type="r" for="ch" forName="desTx4" refType="w"/>
                  <dgm:constr type="t" for="ch" forName="desTx4" refType="t" refFor="ch" refForName="parTx4"/>
                  <dgm:constr type="h" for="ch" forName="desTx4" refType="h" refFor="ch" refForName="parTx4"/>
                </dgm:constrLst>
              </dgm:if>
              <dgm:else name="Name37">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3978"/>
                  <dgm:constr type="ctrY" for="ch" forName="dot1" refType="h" fact="0.8215"/>
                  <dgm:constr type="w" for="ch" forName="dot1" refType="userD"/>
                  <dgm:constr type="h" for="ch" forName="dot1" refType="userD"/>
                  <dgm:constr type="ctrX" for="ch" forName="dot2" refType="w" fact="0.3606"/>
                  <dgm:constr type="ctrY" for="ch" forName="dot2" refType="h" fact="0.843"/>
                  <dgm:constr type="w" for="ch" forName="dot2" refType="userD"/>
                  <dgm:constr type="h" for="ch" forName="dot2" refType="userD"/>
                  <dgm:constr type="ctrX" for="ch" forName="dot3" refType="w" fact="0.3223"/>
                  <dgm:constr type="ctrY" for="ch" forName="dot3" refType="h" fact="0.8607"/>
                  <dgm:constr type="w" for="ch" forName="dot3" refType="userD"/>
                  <dgm:constr type="h" for="ch" forName="dot3" refType="userD"/>
                  <dgm:constr type="ctrX" for="ch" forName="dot4" refType="w" fact="0.2829"/>
                  <dgm:constr type="ctrY" for="ch" forName="dot4" refType="h" fact="0.8745"/>
                  <dgm:constr type="w" for="ch" forName="dot4" refType="userD"/>
                  <dgm:constr type="h" for="ch" forName="dot4" refType="userD"/>
                  <dgm:constr type="ctrX" for="ch" forName="dot5" refType="w" fact="0.5717"/>
                  <dgm:constr type="ctrY" for="ch" forName="dot5" refType="h" fact="0.6419"/>
                  <dgm:constr type="w" for="ch" forName="dot5" refType="userD"/>
                  <dgm:constr type="h" for="ch" forName="dot5" refType="userD"/>
                  <dgm:constr type="ctrX" for="ch" forName="dot6" refType="w" fact="0.6709"/>
                  <dgm:constr type="ctrY" for="ch" forName="dot6" refType="h" fact="0.3784"/>
                  <dgm:constr type="w" for="ch" forName="dot6" refType="userD"/>
                  <dgm:constr type="h" for="ch" forName="dot6" refType="userD"/>
                  <dgm:constr type="ctrX" for="ch" forName="dotArrow1" refType="w" fact="0.6441"/>
                  <dgm:constr type="ctrY" for="ch" forName="dotArrow1" refType="h" fact="0.0496"/>
                  <dgm:constr type="w" for="ch" forName="dotArrow1" refType="userD"/>
                  <dgm:constr type="h" for="ch" forName="dotArrow1" refType="userD"/>
                  <dgm:constr type="ctrX" for="ch" forName="dotArrow2" refType="w" fact="0.6679"/>
                  <dgm:constr type="ctrY" for="ch" forName="dotArrow2" refType="h" fact="0.0282"/>
                  <dgm:constr type="w" for="ch" forName="dotArrow2" refType="userD"/>
                  <dgm:constr type="h" for="ch" forName="dotArrow2" refType="userD"/>
                  <dgm:constr type="ctrX" for="ch" forName="dotArrow3" refType="w" fact="0.6917"/>
                  <dgm:constr type="ctrY" for="ch" forName="dotArrow3" refType="h" fact="0.0068"/>
                  <dgm:constr type="w" for="ch" forName="dotArrow3" refType="userD"/>
                  <dgm:constr type="h" for="ch" forName="dotArrow3" refType="userD"/>
                  <dgm:constr type="ctrX" for="ch" forName="dotArrow4" refType="w" fact="0.7155"/>
                  <dgm:constr type="ctrY" for="ch" forName="dotArrow4" refType="h" fact="0.0282"/>
                  <dgm:constr type="w" for="ch" forName="dotArrow4" refType="userD"/>
                  <dgm:constr type="h" for="ch" forName="dotArrow4" refType="userD"/>
                  <dgm:constr type="ctrX" for="ch" forName="dotArrow5" refType="w" fact="0.7394"/>
                  <dgm:constr type="ctrY" for="ch" forName="dotArrow5" refType="h" fact="0.0496"/>
                  <dgm:constr type="w" for="ch" forName="dotArrow5" refType="userD"/>
                  <dgm:constr type="h" for="ch" forName="dotArrow5" refType="userD"/>
                  <dgm:constr type="ctrX" for="ch" forName="dotArrow6" refType="w" fact="0.6917"/>
                  <dgm:constr type="ctrY" for="ch" forName="dotArrow6" refType="h" fact="0.052"/>
                  <dgm:constr type="w" for="ch" forName="dotArrow6" refType="userD"/>
                  <dgm:constr type="h" for="ch" forName="dotArrow6" refType="userD"/>
                  <dgm:constr type="ctrX" for="ch" forName="dotArrow7" refType="w" fact="0.6917"/>
                  <dgm:constr type="ctrY" for="ch" forName="dotArrow7" refType="h" fact="0.0972"/>
                  <dgm:constr type="w" for="ch" forName="dotArrow7" refType="userD"/>
                  <dgm:constr type="h" for="ch" forName="dotArrow7" refType="userD"/>
                  <dgm:constr type="l" for="ch" forName="parTx1" refType="w" fact="0.1793"/>
                  <dgm:constr type="t" for="ch" forName="parTx1" refType="h" fact="0.9064"/>
                  <dgm:constr type="w" for="ch" forName="parTx1" refType="w" fact="0.3595"/>
                  <dgm:constr type="h" for="ch" forName="parTx1" refType="h" fact="0.1222"/>
                  <dgm:constr type="ctrX" for="ch" forName="picture1" refType="w" fact="0.163"/>
                  <dgm:constr type="ctrY" for="ch" forName="picture1" refType="h" fact="0.8922"/>
                  <dgm:constr type="w" for="ch" forName="picture1" refType="w" fact="0.1667"/>
                  <dgm:constr type="h" for="ch" forName="picture1" refType="h" fact="0.2113"/>
                  <dgm:constr type="l" for="ch" forName="parTx2" refType="w" fact="0.502"/>
                  <dgm:constr type="t" for="ch" forName="parTx2" refType="h" fact="0.7589"/>
                  <dgm:constr type="w" for="ch" forName="parTx2" refType="w" fact="0.3595"/>
                  <dgm:constr type="h" for="ch" forName="parTx2" refType="h" fact="0.1222"/>
                  <dgm:constr type="ctrX" for="ch" forName="picture2" refType="w" fact="0.4857"/>
                  <dgm:constr type="ctrY" for="ch" forName="picture2" refType="h" fact="0.7447"/>
                  <dgm:constr type="w" for="ch" forName="picture2" refType="w" fact="0.1667"/>
                  <dgm:constr type="h" for="ch" forName="picture2" refType="h" fact="0.2113"/>
                  <dgm:constr type="l" for="ch" forName="parTx3" refType="w" fact="0.6394"/>
                  <dgm:constr type="t" for="ch" forName="parTx3" refType="h" fact="0.5263"/>
                  <dgm:constr type="w" for="ch" forName="parTx3" refType="w" fact="0.3595"/>
                  <dgm:constr type="h" for="ch" forName="parTx3" refType="h" fact="0.1222"/>
                  <dgm:constr type="ctrX" for="ch" forName="picture3" refType="w" fact="0.6231"/>
                  <dgm:constr type="ctrY" for="ch" forName="picture3" refType="h" fact="0.5121"/>
                  <dgm:constr type="w" for="ch" forName="picture3" refType="w" fact="0.1667"/>
                  <dgm:constr type="h" for="ch" forName="picture3" refType="h" fact="0.2113"/>
                  <dgm:constr type="l" for="ch" forName="parTx4" refType="w" fact="0.6997"/>
                  <dgm:constr type="t" for="ch" forName="parTx4" refType="h" fact="0.2492"/>
                  <dgm:constr type="w" for="ch" forName="parTx4" refType="w" fact="0.3595"/>
                  <dgm:constr type="h" for="ch" forName="parTx4" refType="h" fact="0.1222"/>
                  <dgm:constr type="ctrX" for="ch" forName="picture4" refType="w" fact="0.6834"/>
                  <dgm:constr type="ctrY" for="ch" forName="picture4" refType="h" fact="0.235"/>
                  <dgm:constr type="w" for="ch" forName="picture4" refType="w" fact="0.1667"/>
                  <dgm:constr type="h" for="ch" forName="picture4" refType="h" fact="0.2113"/>
                </dgm:constrLst>
              </dgm:else>
            </dgm:choose>
          </dgm:if>
          <dgm:else name="Name38">
            <dgm:choose name="Name39">
              <dgm:if name="Name40"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6747"/>
                  <dgm:constr type="ctrY" for="ch" forName="dot1" refType="h" fact="0.8215"/>
                  <dgm:constr type="w" for="ch" forName="dot1" refType="userD"/>
                  <dgm:constr type="h" for="ch" forName="dot1" refType="userD"/>
                  <dgm:constr type="ctrX" for="ch" forName="dot2" refType="w" fact="0.7051"/>
                  <dgm:constr type="ctrY" for="ch" forName="dot2" refType="h" fact="0.843"/>
                  <dgm:constr type="w" for="ch" forName="dot2" refType="userD"/>
                  <dgm:constr type="h" for="ch" forName="dot2" refType="userD"/>
                  <dgm:constr type="ctrX" for="ch" forName="dot3" refType="w" fact="0.7365"/>
                  <dgm:constr type="ctrY" for="ch" forName="dot3" refType="h" fact="0.8607"/>
                  <dgm:constr type="w" for="ch" forName="dot3" refType="userD"/>
                  <dgm:constr type="h" for="ch" forName="dot3" refType="userD"/>
                  <dgm:constr type="ctrX" for="ch" forName="dot4" refType="w" fact="0.7687"/>
                  <dgm:constr type="ctrY" for="ch" forName="dot4" refType="h" fact="0.8745"/>
                  <dgm:constr type="w" for="ch" forName="dot4" refType="userD"/>
                  <dgm:constr type="h" for="ch" forName="dot4" refType="userD"/>
                  <dgm:constr type="ctrX" for="ch" forName="dot5" refType="w" fact="0.5325"/>
                  <dgm:constr type="ctrY" for="ch" forName="dot5" refType="h" fact="0.6419"/>
                  <dgm:constr type="w" for="ch" forName="dot5" refType="userD"/>
                  <dgm:constr type="h" for="ch" forName="dot5" refType="userD"/>
                  <dgm:constr type="ctrX" for="ch" forName="dot6" refType="w" fact="0.4514"/>
                  <dgm:constr type="ctrY" for="ch" forName="dot6" refType="h" fact="0.3784"/>
                  <dgm:constr type="w" for="ch" forName="dot6" refType="userD"/>
                  <dgm:constr type="h" for="ch" forName="dot6" refType="userD"/>
                  <dgm:constr type="ctrX" for="ch" forName="dotArrow1" refType="w" fact="0.4733"/>
                  <dgm:constr type="ctrY" for="ch" forName="dotArrow1" refType="h" fact="0.0496"/>
                  <dgm:constr type="w" for="ch" forName="dotArrow1" refType="userD"/>
                  <dgm:constr type="h" for="ch" forName="dotArrow1" refType="userD"/>
                  <dgm:constr type="ctrX" for="ch" forName="dotArrow2" refType="w" fact="0.4538"/>
                  <dgm:constr type="ctrY" for="ch" forName="dotArrow2" refType="h" fact="0.0282"/>
                  <dgm:constr type="w" for="ch" forName="dotArrow2" refType="userD"/>
                  <dgm:constr type="h" for="ch" forName="dotArrow2" refType="userD"/>
                  <dgm:constr type="ctrX" for="ch" forName="dotArrow3" refType="w" fact="0.4343"/>
                  <dgm:constr type="ctrY" for="ch" forName="dotArrow3" refType="h" fact="0.0068"/>
                  <dgm:constr type="w" for="ch" forName="dotArrow3" refType="userD"/>
                  <dgm:constr type="h" for="ch" forName="dotArrow3" refType="userD"/>
                  <dgm:constr type="ctrX" for="ch" forName="dotArrow4" refType="w" fact="0.4149"/>
                  <dgm:constr type="ctrY" for="ch" forName="dotArrow4" refType="h" fact="0.0282"/>
                  <dgm:constr type="w" for="ch" forName="dotArrow4" refType="userD"/>
                  <dgm:constr type="h" for="ch" forName="dotArrow4" refType="userD"/>
                  <dgm:constr type="ctrX" for="ch" forName="dotArrow5" refType="w" fact="0.3954"/>
                  <dgm:constr type="ctrY" for="ch" forName="dotArrow5" refType="h" fact="0.0496"/>
                  <dgm:constr type="w" for="ch" forName="dotArrow5" refType="userD"/>
                  <dgm:constr type="h" for="ch" forName="dotArrow5" refType="userD"/>
                  <dgm:constr type="ctrX" for="ch" forName="dotArrow6" refType="w" fact="0.4343"/>
                  <dgm:constr type="ctrY" for="ch" forName="dotArrow6" refType="h" fact="0.052"/>
                  <dgm:constr type="w" for="ch" forName="dotArrow6" refType="userD"/>
                  <dgm:constr type="h" for="ch" forName="dotArrow6" refType="userD"/>
                  <dgm:constr type="ctrX" for="ch" forName="dotArrow7" refType="w" fact="0.4343"/>
                  <dgm:constr type="ctrY" for="ch" forName="dotArrow7" refType="h" fact="0.0972"/>
                  <dgm:constr type="w" for="ch" forName="dotArrow7" refType="userD"/>
                  <dgm:constr type="h" for="ch" forName="dotArrow7" refType="userD"/>
                  <dgm:constr type="r" for="ch" forName="parTx1" refType="w" fact="0.8534"/>
                  <dgm:constr type="t" for="ch" forName="parTx1" refType="h" fact="0.9095"/>
                  <dgm:constr type="w" for="ch" forName="parTx1" refType="w" fact="0.294"/>
                  <dgm:constr type="h" for="ch" forName="parTx1" refType="h" fact="0.1222"/>
                  <dgm:constr type="ctrX" for="ch" forName="picture1" refType="w" fact="0.8667"/>
                  <dgm:constr type="ctrY" for="ch" forName="picture1" refType="h" fact="0.8922"/>
                  <dgm:constr type="w" for="ch" forName="picture1" refType="w" fact="0.1363"/>
                  <dgm:constr type="h" for="ch" forName="picture1" refType="h" fact="0.211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895"/>
                  <dgm:constr type="t" for="ch" forName="parTx2" refType="h" fact="0.762"/>
                  <dgm:constr type="w" for="ch" forName="parTx2" refType="w" fact="0.294"/>
                  <dgm:constr type="h" for="ch" forName="parTx2" refType="h" fact="0.1222"/>
                  <dgm:constr type="ctrX" for="ch" forName="picture2" refType="w" fact="0.6028"/>
                  <dgm:constr type="ctrY" for="ch" forName="picture2" refType="h" fact="0.7447"/>
                  <dgm:constr type="w" for="ch" forName="picture2" refType="w" fact="0.1363"/>
                  <dgm:constr type="h" for="ch" forName="picture2" refType="h" fact="0.211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771"/>
                  <dgm:constr type="t" for="ch" forName="parTx3" refType="h" fact="0.5294"/>
                  <dgm:constr type="w" for="ch" forName="parTx3" refType="w" fact="0.294"/>
                  <dgm:constr type="h" for="ch" forName="parTx3" refType="h" fact="0.1222"/>
                  <dgm:constr type="ctrX" for="ch" forName="picture3" refType="w" fact="0.4905"/>
                  <dgm:constr type="ctrY" for="ch" forName="picture3" refType="h" fact="0.5121"/>
                  <dgm:constr type="w" for="ch" forName="picture3" refType="w" fact="0.1363"/>
                  <dgm:constr type="h" for="ch" forName="picture3" refType="h" fact="0.211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278"/>
                  <dgm:constr type="t" for="ch" forName="parTx4" refType="h" fact="0.2523"/>
                  <dgm:constr type="w" for="ch" forName="parTx4" refType="w" fact="0.294"/>
                  <dgm:constr type="h" for="ch" forName="parTx4" refType="h" fact="0.1222"/>
                  <dgm:constr type="ctrX" for="ch" forName="picture4" refType="w" fact="0.4412"/>
                  <dgm:constr type="ctrY" for="ch" forName="picture4" refType="h" fact="0.235"/>
                  <dgm:constr type="w" for="ch" forName="picture4" refType="w" fact="0.1363"/>
                  <dgm:constr type="h" for="ch" forName="picture4" refType="h" fact="0.2113"/>
                  <dgm:constr type="r" for="ch" forName="desTx4" refType="l" refFor="ch" refForName="parTx4"/>
                  <dgm:constr type="l" for="ch" forName="desTx4"/>
                  <dgm:constr type="t" for="ch" forName="desTx4" refType="t" refFor="ch" refForName="parTx4"/>
                  <dgm:constr type="h" for="ch" forName="desTx4" refType="h" refFor="ch" refForName="parTx4"/>
                </dgm:constrLst>
              </dgm:if>
              <dgm:else name="Name41">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6022"/>
                  <dgm:constr type="ctrY" for="ch" forName="dot1" refType="h" fact="0.8215"/>
                  <dgm:constr type="w" for="ch" forName="dot1" refType="userD"/>
                  <dgm:constr type="h" for="ch" forName="dot1" refType="userD"/>
                  <dgm:constr type="ctrX" for="ch" forName="dot2" refType="w" fact="0.6394"/>
                  <dgm:constr type="ctrY" for="ch" forName="dot2" refType="h" fact="0.843"/>
                  <dgm:constr type="w" for="ch" forName="dot2" refType="userD"/>
                  <dgm:constr type="h" for="ch" forName="dot2" refType="userD"/>
                  <dgm:constr type="ctrX" for="ch" forName="dot3" refType="w" fact="0.6777"/>
                  <dgm:constr type="ctrY" for="ch" forName="dot3" refType="h" fact="0.8607"/>
                  <dgm:constr type="w" for="ch" forName="dot3" refType="userD"/>
                  <dgm:constr type="h" for="ch" forName="dot3" refType="userD"/>
                  <dgm:constr type="ctrX" for="ch" forName="dot4" refType="w" fact="0.7171"/>
                  <dgm:constr type="ctrY" for="ch" forName="dot4" refType="h" fact="0.8745"/>
                  <dgm:constr type="w" for="ch" forName="dot4" refType="userD"/>
                  <dgm:constr type="h" for="ch" forName="dot4" refType="userD"/>
                  <dgm:constr type="ctrX" for="ch" forName="dot5" refType="w" fact="0.4283"/>
                  <dgm:constr type="ctrY" for="ch" forName="dot5" refType="h" fact="0.6419"/>
                  <dgm:constr type="w" for="ch" forName="dot5" refType="userD"/>
                  <dgm:constr type="h" for="ch" forName="dot5" refType="userD"/>
                  <dgm:constr type="ctrX" for="ch" forName="dot6" refType="w" fact="0.3291"/>
                  <dgm:constr type="ctrY" for="ch" forName="dot6" refType="h" fact="0.3784"/>
                  <dgm:constr type="w" for="ch" forName="dot6" refType="userD"/>
                  <dgm:constr type="h" for="ch" forName="dot6" refType="userD"/>
                  <dgm:constr type="ctrX" for="ch" forName="dotArrow1" refType="w" fact="0.3559"/>
                  <dgm:constr type="ctrY" for="ch" forName="dotArrow1" refType="h" fact="0.0496"/>
                  <dgm:constr type="w" for="ch" forName="dotArrow1" refType="userD"/>
                  <dgm:constr type="h" for="ch" forName="dotArrow1" refType="userD"/>
                  <dgm:constr type="ctrX" for="ch" forName="dotArrow2" refType="w" fact="0.3321"/>
                  <dgm:constr type="ctrY" for="ch" forName="dotArrow2" refType="h" fact="0.0282"/>
                  <dgm:constr type="w" for="ch" forName="dotArrow2" refType="userD"/>
                  <dgm:constr type="h" for="ch" forName="dotArrow2" refType="userD"/>
                  <dgm:constr type="ctrX" for="ch" forName="dotArrow3" refType="w" fact="0.3083"/>
                  <dgm:constr type="ctrY" for="ch" forName="dotArrow3" refType="h" fact="0.0068"/>
                  <dgm:constr type="w" for="ch" forName="dotArrow3" refType="userD"/>
                  <dgm:constr type="h" for="ch" forName="dotArrow3" refType="userD"/>
                  <dgm:constr type="ctrX" for="ch" forName="dotArrow4" refType="w" fact="0.2845"/>
                  <dgm:constr type="ctrY" for="ch" forName="dotArrow4" refType="h" fact="0.0282"/>
                  <dgm:constr type="w" for="ch" forName="dotArrow4" refType="userD"/>
                  <dgm:constr type="h" for="ch" forName="dotArrow4" refType="userD"/>
                  <dgm:constr type="ctrX" for="ch" forName="dotArrow5" refType="w" fact="0.2606"/>
                  <dgm:constr type="ctrY" for="ch" forName="dotArrow5" refType="h" fact="0.0496"/>
                  <dgm:constr type="w" for="ch" forName="dotArrow5" refType="userD"/>
                  <dgm:constr type="h" for="ch" forName="dotArrow5" refType="userD"/>
                  <dgm:constr type="ctrX" for="ch" forName="dotArrow6" refType="w" fact="0.3083"/>
                  <dgm:constr type="ctrY" for="ch" forName="dotArrow6" refType="h" fact="0.052"/>
                  <dgm:constr type="w" for="ch" forName="dotArrow6" refType="userD"/>
                  <dgm:constr type="h" for="ch" forName="dotArrow6" refType="userD"/>
                  <dgm:constr type="ctrX" for="ch" forName="dotArrow7" refType="w" fact="0.3083"/>
                  <dgm:constr type="ctrY" for="ch" forName="dotArrow7" refType="h" fact="0.0972"/>
                  <dgm:constr type="w" for="ch" forName="dotArrow7" refType="userD"/>
                  <dgm:constr type="h" for="ch" forName="dotArrow7" refType="userD"/>
                  <dgm:constr type="r" for="ch" forName="parTx1" refType="w" fact="0.8207"/>
                  <dgm:constr type="t" for="ch" forName="parTx1" refType="h" fact="0.9064"/>
                  <dgm:constr type="w" for="ch" forName="parTx1" refType="w" fact="0.3595"/>
                  <dgm:constr type="h" for="ch" forName="parTx1" refType="h" fact="0.1222"/>
                  <dgm:constr type="ctrX" for="ch" forName="picture1" refType="w" fact="0.837"/>
                  <dgm:constr type="ctrY" for="ch" forName="picture1" refType="h" fact="0.8922"/>
                  <dgm:constr type="w" for="ch" forName="picture1" refType="w" fact="0.1667"/>
                  <dgm:constr type="h" for="ch" forName="picture1" refType="h" fact="0.2113"/>
                  <dgm:constr type="r" for="ch" forName="parTx2" refType="w" fact="0.498"/>
                  <dgm:constr type="t" for="ch" forName="parTx2" refType="h" fact="0.7589"/>
                  <dgm:constr type="w" for="ch" forName="parTx2" refType="w" fact="0.3595"/>
                  <dgm:constr type="h" for="ch" forName="parTx2" refType="h" fact="0.1222"/>
                  <dgm:constr type="ctrX" for="ch" forName="picture2" refType="w" fact="0.5143"/>
                  <dgm:constr type="ctrY" for="ch" forName="picture2" refType="h" fact="0.7447"/>
                  <dgm:constr type="w" for="ch" forName="picture2" refType="w" fact="0.1667"/>
                  <dgm:constr type="h" for="ch" forName="picture2" refType="h" fact="0.2113"/>
                  <dgm:constr type="r" for="ch" forName="parTx3" refType="w" fact="0.3606"/>
                  <dgm:constr type="t" for="ch" forName="parTx3" refType="h" fact="0.5263"/>
                  <dgm:constr type="w" for="ch" forName="parTx3" refType="w" fact="0.3595"/>
                  <dgm:constr type="h" for="ch" forName="parTx3" refType="h" fact="0.1222"/>
                  <dgm:constr type="ctrX" for="ch" forName="picture3" refType="w" fact="0.3769"/>
                  <dgm:constr type="ctrY" for="ch" forName="picture3" refType="h" fact="0.5121"/>
                  <dgm:constr type="w" for="ch" forName="picture3" refType="w" fact="0.1667"/>
                  <dgm:constr type="h" for="ch" forName="picture3" refType="h" fact="0.2113"/>
                  <dgm:constr type="r" for="ch" forName="parTx4" refType="w" fact="0.3003"/>
                  <dgm:constr type="t" for="ch" forName="parTx4" refType="h" fact="0.2492"/>
                  <dgm:constr type="w" for="ch" forName="parTx4" refType="w" fact="0.3595"/>
                  <dgm:constr type="h" for="ch" forName="parTx4" refType="h" fact="0.1222"/>
                  <dgm:constr type="ctrX" for="ch" forName="picture4" refType="w" fact="0.3166"/>
                  <dgm:constr type="ctrY" for="ch" forName="picture4" refType="h" fact="0.235"/>
                  <dgm:constr type="w" for="ch" forName="picture4" refType="w" fact="0.1667"/>
                  <dgm:constr type="h" for="ch" forName="picture4" refType="h" fact="0.2113"/>
                </dgm:constrLst>
              </dgm:else>
            </dgm:choose>
          </dgm:else>
        </dgm:choose>
      </dgm:if>
      <dgm:if name="Name42" axis="ch" ptType="node" func="cnt" op="equ" val="5">
        <dgm:choose name="Name43">
          <dgm:if name="Name44" func="var" arg="dir" op="equ" val="norm">
            <dgm:choose name="Name45">
              <dgm:if name="Name46"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3263"/>
                  <dgm:constr type="ctrY" for="ch" forName="dot1" refType="h" fact="0.8674"/>
                  <dgm:constr type="w" for="ch" forName="dot1" refType="userD"/>
                  <dgm:constr type="h" for="ch" forName="dot1" refType="userD"/>
                  <dgm:constr type="ctrX" for="ch" forName="dot2" refType="w" fact="0.3001"/>
                  <dgm:constr type="ctrY" for="ch" forName="dot2" refType="h" fact="0.8824"/>
                  <dgm:constr type="w" for="ch" forName="dot2" refType="userD"/>
                  <dgm:constr type="h" for="ch" forName="dot2" refType="userD"/>
                  <dgm:constr type="ctrX" for="ch" forName="dot3" refType="w" fact="0.2733"/>
                  <dgm:constr type="ctrY" for="ch" forName="dot3" refType="h" fact="0.8948"/>
                  <dgm:constr type="w" for="ch" forName="dot3" refType="userD"/>
                  <dgm:constr type="h" for="ch" forName="dot3" refType="userD"/>
                  <dgm:constr type="ctrX" for="ch" forName="dot4" refType="w" fact="0.2462"/>
                  <dgm:constr type="ctrY" for="ch" forName="dot4" refType="h" fact="0.9044"/>
                  <dgm:constr type="w" for="ch" forName="dot4" refType="userD"/>
                  <dgm:constr type="h" for="ch" forName="dot4" refType="userD"/>
                  <dgm:constr type="ctrX" for="ch" forName="dot5" refType="w" fact="0.4691"/>
                  <dgm:constr type="ctrY" for="ch" forName="dot5" refType="h" fact="0.7222"/>
                  <dgm:constr type="w" for="ch" forName="dot5" refType="userD"/>
                  <dgm:constr type="h" for="ch" forName="dot5" refType="userD"/>
                  <dgm:constr type="ctrX" for="ch" forName="dot6" refType="w" fact="0.4484"/>
                  <dgm:constr type="ctrY" for="ch" forName="dot6" refType="h" fact="0.7518"/>
                  <dgm:constr type="w" for="ch" forName="dot6" refType="userD"/>
                  <dgm:constr type="h" for="ch" forName="dot6" refType="userD"/>
                  <dgm:constr type="ctrX" for="ch" forName="dot7" refType="w" fact="0.5549"/>
                  <dgm:constr type="ctrY" for="ch" forName="dot7" refType="h" fact="0.5422"/>
                  <dgm:constr type="w" for="ch" forName="dot7" refType="userD"/>
                  <dgm:constr type="h" for="ch" forName="dot7" refType="userD"/>
                  <dgm:constr type="ctrX" for="ch" forName="dot8" refType="w" fact="0.601"/>
                  <dgm:constr type="ctrY" for="ch" forName="dot8" refType="h" fact="0.3229"/>
                  <dgm:constr type="w" for="ch" forName="dot8" refType="userD"/>
                  <dgm:constr type="h" for="ch" forName="dot8" refType="userD"/>
                  <dgm:constr type="ctrX" for="ch" forName="dotArrow1" refType="w" fact="0.5779"/>
                  <dgm:constr type="ctrY" for="ch" forName="dotArrow1" refType="h" fact="0.0635"/>
                  <dgm:constr type="w" for="ch" forName="dotArrow1" refType="userD"/>
                  <dgm:constr type="h" for="ch" forName="dotArrow1" refType="userD"/>
                  <dgm:constr type="ctrX" for="ch" forName="dotArrow2" refType="w" fact="0.5951"/>
                  <dgm:constr type="ctrY" for="ch" forName="dotArrow2" refType="h" fact="0.0448"/>
                  <dgm:constr type="w" for="ch" forName="dotArrow2" refType="userD"/>
                  <dgm:constr type="h" for="ch" forName="dotArrow2" refType="userD"/>
                  <dgm:constr type="ctrX" for="ch" forName="dotArrow3" refType="w" fact="0.6123"/>
                  <dgm:constr type="ctrY" for="ch" forName="dotArrow3" refType="h" fact="0.026"/>
                  <dgm:constr type="w" for="ch" forName="dotArrow3" refType="userD"/>
                  <dgm:constr type="h" for="ch" forName="dotArrow3" refType="userD"/>
                  <dgm:constr type="ctrX" for="ch" forName="dotArrow4" refType="w" fact="0.6295"/>
                  <dgm:constr type="ctrY" for="ch" forName="dotArrow4" refType="h" fact="0.0448"/>
                  <dgm:constr type="w" for="ch" forName="dotArrow4" refType="userD"/>
                  <dgm:constr type="h" for="ch" forName="dotArrow4" refType="userD"/>
                  <dgm:constr type="ctrX" for="ch" forName="dotArrow5" refType="w" fact="0.6467"/>
                  <dgm:constr type="ctrY" for="ch" forName="dotArrow5" refType="h" fact="0.0635"/>
                  <dgm:constr type="w" for="ch" forName="dotArrow5" refType="userD"/>
                  <dgm:constr type="h" for="ch" forName="dotArrow5" refType="userD"/>
                  <dgm:constr type="ctrX" for="ch" forName="dotArrow6" refType="w" fact="0.6123"/>
                  <dgm:constr type="ctrY" for="ch" forName="dotArrow6" refType="h" fact="0.0656"/>
                  <dgm:constr type="w" for="ch" forName="dotArrow6" refType="userD"/>
                  <dgm:constr type="h" for="ch" forName="dotArrow6" refType="userD"/>
                  <dgm:constr type="ctrX" for="ch" forName="dotArrow7" refType="w" fact="0.6123"/>
                  <dgm:constr type="ctrY" for="ch" forName="dotArrow7" refType="h" fact="0.1052"/>
                  <dgm:constr type="w" for="ch" forName="dotArrow7" refType="userD"/>
                  <dgm:constr type="h" for="ch" forName="dotArrow7" refType="userD"/>
                  <dgm:constr type="l" for="ch" forName="parTx1" refType="w" fact="0.1746"/>
                  <dgm:constr type="t" for="ch" forName="parTx1" refType="h" fact="0.9304"/>
                  <dgm:constr type="w" for="ch" forName="parTx1" refType="w" fact="0.2544"/>
                  <dgm:constr type="h" for="ch" forName="parTx1" refType="h" fact="0.0962"/>
                  <dgm:constr type="ctrX" for="ch" forName="picture1" refType="w" fact="0.1631"/>
                  <dgm:constr type="ctrY" for="ch" forName="picture1" refType="h" fact="0.9169"/>
                  <dgm:constr type="w" for="ch" forName="picture1" refType="w" fact="0.118"/>
                  <dgm:constr type="h" for="ch" forName="picture1" refType="h" fact="0.166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982"/>
                  <dgm:constr type="t" for="ch" forName="parTx2" refType="h" fact="0.8167"/>
                  <dgm:constr type="w" for="ch" forName="parTx2" refType="w" fact="0.2544"/>
                  <dgm:constr type="h" for="ch" forName="parTx2" refType="h" fact="0.0962"/>
                  <dgm:constr type="ctrX" for="ch" forName="picture2" refType="w" fact="0.3866"/>
                  <dgm:constr type="ctrY" for="ch" forName="picture2" refType="h" fact="0.8032"/>
                  <dgm:constr type="w" for="ch" forName="picture2" refType="w" fact="0.118"/>
                  <dgm:constr type="h" for="ch" forName="picture2" refType="h" fact="0.166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194"/>
                  <dgm:constr type="t" for="ch" forName="parTx3" refType="h" fact="0.6524"/>
                  <dgm:constr type="w" for="ch" forName="parTx3" refType="w" fact="0.2544"/>
                  <dgm:constr type="h" for="ch" forName="parTx3" refType="h" fact="0.0962"/>
                  <dgm:constr type="ctrX" for="ch" forName="picture3" refType="w" fact="0.5078"/>
                  <dgm:constr type="ctrY" for="ch" forName="picture3" refType="h" fact="0.6389"/>
                  <dgm:constr type="w" for="ch" forName="picture3" refType="w" fact="0.118"/>
                  <dgm:constr type="h" for="ch" forName="picture3" refType="h" fact="0.166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827"/>
                  <dgm:constr type="t" for="ch" forName="parTx4" refType="h" fact="0.4412"/>
                  <dgm:constr type="w" for="ch" forName="parTx4" refType="w" fact="0.2544"/>
                  <dgm:constr type="h" for="ch" forName="parTx4" refType="h" fact="0.0962"/>
                  <dgm:constr type="ctrX" for="ch" forName="picture4" refType="w" fact="0.5712"/>
                  <dgm:constr type="ctrY" for="ch" forName="picture4" refType="h" fact="0.4277"/>
                  <dgm:constr type="w" for="ch" forName="picture4" refType="w" fact="0.118"/>
                  <dgm:constr type="h" for="ch" forName="picture4" refType="h" fact="0.166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18"/>
                  <dgm:constr type="t" for="ch" forName="parTx5" refType="h" fact="0.2262"/>
                  <dgm:constr type="w" for="ch" forName="parTx5" refType="w" fact="0.2544"/>
                  <dgm:constr type="h" for="ch" forName="parTx5" refType="h" fact="0.0962"/>
                  <dgm:constr type="ctrX" for="ch" forName="picture5" refType="w" fact="0.6064"/>
                  <dgm:constr type="ctrY" for="ch" forName="picture5" refType="h" fact="0.2127"/>
                  <dgm:constr type="w" for="ch" forName="picture5" refType="w" fact="0.118"/>
                  <dgm:constr type="h" for="ch" forName="picture5" refType="h" fact="0.1663"/>
                  <dgm:constr type="l" for="ch" forName="desTx5" refType="r" refFor="ch" refForName="parTx5"/>
                  <dgm:constr type="r" for="ch" forName="desTx5" refType="w"/>
                  <dgm:constr type="t" for="ch" forName="desTx5" refType="t" refFor="ch" refForName="parTx5"/>
                  <dgm:constr type="h" for="ch" forName="desTx5" refType="h" refFor="ch" refForName="parTx5"/>
                </dgm:constrLst>
              </dgm:if>
              <dgm:else name="Name47">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3951"/>
                  <dgm:constr type="ctrY" for="ch" forName="dot1" refType="h" fact="0.8674"/>
                  <dgm:constr type="w" for="ch" forName="dot1" refType="userD"/>
                  <dgm:constr type="h" for="ch" forName="dot1" refType="userD"/>
                  <dgm:constr type="ctrX" for="ch" forName="dot2" refType="w" fact="0.3634"/>
                  <dgm:constr type="ctrY" for="ch" forName="dot2" refType="h" fact="0.8824"/>
                  <dgm:constr type="w" for="ch" forName="dot2" refType="userD"/>
                  <dgm:constr type="h" for="ch" forName="dot2" refType="userD"/>
                  <dgm:constr type="ctrX" for="ch" forName="dot3" refType="w" fact="0.331"/>
                  <dgm:constr type="ctrY" for="ch" forName="dot3" refType="h" fact="0.8948"/>
                  <dgm:constr type="w" for="ch" forName="dot3" refType="userD"/>
                  <dgm:constr type="h" for="ch" forName="dot3" refType="userD"/>
                  <dgm:constr type="ctrX" for="ch" forName="dot4" refType="w" fact="0.2981"/>
                  <dgm:constr type="ctrY" for="ch" forName="dot4" refType="h" fact="0.9044"/>
                  <dgm:constr type="w" for="ch" forName="dot4" refType="userD"/>
                  <dgm:constr type="h" for="ch" forName="dot4" refType="userD"/>
                  <dgm:constr type="ctrX" for="ch" forName="dot5" refType="w" fact="0.5681"/>
                  <dgm:constr type="ctrY" for="ch" forName="dot5" refType="h" fact="0.7222"/>
                  <dgm:constr type="w" for="ch" forName="dot5" refType="userD"/>
                  <dgm:constr type="h" for="ch" forName="dot5" refType="userD"/>
                  <dgm:constr type="ctrX" for="ch" forName="dot6" refType="w" fact="0.543"/>
                  <dgm:constr type="ctrY" for="ch" forName="dot6" refType="h" fact="0.7518"/>
                  <dgm:constr type="w" for="ch" forName="dot6" refType="userD"/>
                  <dgm:constr type="h" for="ch" forName="dot6" refType="userD"/>
                  <dgm:constr type="ctrX" for="ch" forName="dot7" refType="w" fact="0.672"/>
                  <dgm:constr type="ctrY" for="ch" forName="dot7" refType="h" fact="0.5422"/>
                  <dgm:constr type="w" for="ch" forName="dot7" refType="userD"/>
                  <dgm:constr type="h" for="ch" forName="dot7" refType="userD"/>
                  <dgm:constr type="ctrX" for="ch" forName="dot8" refType="w" fact="0.7278"/>
                  <dgm:constr type="ctrY" for="ch" forName="dot8" refType="h" fact="0.3229"/>
                  <dgm:constr type="w" for="ch" forName="dot8" refType="userD"/>
                  <dgm:constr type="h" for="ch" forName="dot8" refType="userD"/>
                  <dgm:constr type="ctrX" for="ch" forName="dotArrow1" refType="w" fact="0.6999"/>
                  <dgm:constr type="ctrY" for="ch" forName="dotArrow1" refType="h" fact="0.0635"/>
                  <dgm:constr type="w" for="ch" forName="dotArrow1" refType="userD"/>
                  <dgm:constr type="h" for="ch" forName="dotArrow1" refType="userD"/>
                  <dgm:constr type="ctrX" for="ch" forName="dotArrow2" refType="w" fact="0.7207"/>
                  <dgm:constr type="ctrY" for="ch" forName="dotArrow2" refType="h" fact="0.0448"/>
                  <dgm:constr type="w" for="ch" forName="dotArrow2" refType="userD"/>
                  <dgm:constr type="h" for="ch" forName="dotArrow2" refType="userD"/>
                  <dgm:constr type="ctrX" for="ch" forName="dotArrow3" refType="w" fact="0.7415"/>
                  <dgm:constr type="ctrY" for="ch" forName="dotArrow3" refType="h" fact="0.026"/>
                  <dgm:constr type="w" for="ch" forName="dotArrow3" refType="userD"/>
                  <dgm:constr type="h" for="ch" forName="dotArrow3" refType="userD"/>
                  <dgm:constr type="ctrX" for="ch" forName="dotArrow4" refType="w" fact="0.7624"/>
                  <dgm:constr type="ctrY" for="ch" forName="dotArrow4" refType="h" fact="0.0448"/>
                  <dgm:constr type="w" for="ch" forName="dotArrow4" refType="userD"/>
                  <dgm:constr type="h" for="ch" forName="dotArrow4" refType="userD"/>
                  <dgm:constr type="ctrX" for="ch" forName="dotArrow5" refType="w" fact="0.7832"/>
                  <dgm:constr type="ctrY" for="ch" forName="dotArrow5" refType="h" fact="0.0635"/>
                  <dgm:constr type="w" for="ch" forName="dotArrow5" refType="userD"/>
                  <dgm:constr type="h" for="ch" forName="dotArrow5" refType="userD"/>
                  <dgm:constr type="ctrX" for="ch" forName="dotArrow6" refType="w" fact="0.7415"/>
                  <dgm:constr type="ctrY" for="ch" forName="dotArrow6" refType="h" fact="0.0656"/>
                  <dgm:constr type="w" for="ch" forName="dotArrow6" refType="userD"/>
                  <dgm:constr type="h" for="ch" forName="dotArrow6" refType="userD"/>
                  <dgm:constr type="ctrX" for="ch" forName="dotArrow7" refType="w" fact="0.7415"/>
                  <dgm:constr type="ctrY" for="ch" forName="dotArrow7" refType="h" fact="0.1052"/>
                  <dgm:constr type="w" for="ch" forName="dotArrow7" refType="userD"/>
                  <dgm:constr type="h" for="ch" forName="dotArrow7" refType="userD"/>
                  <dgm:constr type="l" for="ch" forName="parTx1" refType="w" fact="0.2115"/>
                  <dgm:constr type="t" for="ch" forName="parTx1" refType="h" fact="0.928"/>
                  <dgm:constr type="w" for="ch" forName="parTx1" refType="w" fact="0.3081"/>
                  <dgm:constr type="h" for="ch" forName="parTx1" refType="h" fact="0.0962"/>
                  <dgm:constr type="ctrX" for="ch" forName="picture1" refType="w" fact="0.1975"/>
                  <dgm:constr type="ctrY" for="ch" forName="picture1" refType="h" fact="0.9169"/>
                  <dgm:constr type="w" for="ch" forName="picture1" refType="w" fact="0.1429"/>
                  <dgm:constr type="h" for="ch" forName="picture1" refType="h" fact="0.1663"/>
                  <dgm:constr type="l" for="ch" forName="parTx2" refType="w" fact="0.4822"/>
                  <dgm:constr type="t" for="ch" forName="parTx2" refType="h" fact="0.8143"/>
                  <dgm:constr type="w" for="ch" forName="parTx2" refType="w" fact="0.3081"/>
                  <dgm:constr type="h" for="ch" forName="parTx2" refType="h" fact="0.0962"/>
                  <dgm:constr type="ctrX" for="ch" forName="picture2" refType="w" fact="0.4682"/>
                  <dgm:constr type="ctrY" for="ch" forName="picture2" refType="h" fact="0.8032"/>
                  <dgm:constr type="w" for="ch" forName="picture2" refType="w" fact="0.1429"/>
                  <dgm:constr type="h" for="ch" forName="picture2" refType="h" fact="0.1663"/>
                  <dgm:constr type="l" for="ch" forName="parTx3" refType="w" fact="0.629"/>
                  <dgm:constr type="t" for="ch" forName="parTx3" refType="h" fact="0.65"/>
                  <dgm:constr type="w" for="ch" forName="parTx3" refType="w" fact="0.3081"/>
                  <dgm:constr type="h" for="ch" forName="parTx3" refType="h" fact="0.0962"/>
                  <dgm:constr type="ctrX" for="ch" forName="picture3" refType="w" fact="0.615"/>
                  <dgm:constr type="ctrY" for="ch" forName="picture3" refType="h" fact="0.6389"/>
                  <dgm:constr type="w" for="ch" forName="picture3" refType="w" fact="0.1429"/>
                  <dgm:constr type="h" for="ch" forName="picture3" refType="h" fact="0.1663"/>
                  <dgm:constr type="l" for="ch" forName="parTx4" refType="w" fact="0.7057"/>
                  <dgm:constr type="t" for="ch" forName="parTx4" refType="h" fact="0.4388"/>
                  <dgm:constr type="w" for="ch" forName="parTx4" refType="w" fact="0.3081"/>
                  <dgm:constr type="h" for="ch" forName="parTx4" refType="h" fact="0.0962"/>
                  <dgm:constr type="ctrX" for="ch" forName="picture4" refType="w" fact="0.6917"/>
                  <dgm:constr type="ctrY" for="ch" forName="picture4" refType="h" fact="0.4277"/>
                  <dgm:constr type="w" for="ch" forName="picture4" refType="w" fact="0.1429"/>
                  <dgm:constr type="h" for="ch" forName="picture4" refType="h" fact="0.1663"/>
                  <dgm:constr type="l" for="ch" forName="parTx5" refType="w" fact="0.7484"/>
                  <dgm:constr type="t" for="ch" forName="parTx5" refType="h" fact="0.2238"/>
                  <dgm:constr type="w" for="ch" forName="parTx5" refType="w" fact="0.3081"/>
                  <dgm:constr type="h" for="ch" forName="parTx5" refType="h" fact="0.0962"/>
                  <dgm:constr type="ctrX" for="ch" forName="picture5" refType="w" fact="0.7344"/>
                  <dgm:constr type="ctrY" for="ch" forName="picture5" refType="h" fact="0.2127"/>
                  <dgm:constr type="w" for="ch" forName="picture5" refType="w" fact="0.1429"/>
                  <dgm:constr type="h" for="ch" forName="picture5" refType="h" fact="0.1663"/>
                </dgm:constrLst>
              </dgm:else>
            </dgm:choose>
          </dgm:if>
          <dgm:else name="Name48">
            <dgm:choose name="Name49">
              <dgm:if name="Name50"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6737"/>
                  <dgm:constr type="ctrY" for="ch" forName="dot1" refType="h" fact="0.8674"/>
                  <dgm:constr type="w" for="ch" forName="dot1" refType="userD"/>
                  <dgm:constr type="h" for="ch" forName="dot1" refType="userD"/>
                  <dgm:constr type="ctrX" for="ch" forName="dot2" refType="w" fact="0.6999"/>
                  <dgm:constr type="ctrY" for="ch" forName="dot2" refType="h" fact="0.8824"/>
                  <dgm:constr type="w" for="ch" forName="dot2" refType="userD"/>
                  <dgm:constr type="h" for="ch" forName="dot2" refType="userD"/>
                  <dgm:constr type="ctrX" for="ch" forName="dot3" refType="w" fact="0.7267"/>
                  <dgm:constr type="ctrY" for="ch" forName="dot3" refType="h" fact="0.8948"/>
                  <dgm:constr type="w" for="ch" forName="dot3" refType="userD"/>
                  <dgm:constr type="h" for="ch" forName="dot3" refType="userD"/>
                  <dgm:constr type="ctrX" for="ch" forName="dot4" refType="w" fact="0.7538"/>
                  <dgm:constr type="ctrY" for="ch" forName="dot4" refType="h" fact="0.9044"/>
                  <dgm:constr type="w" for="ch" forName="dot4" refType="userD"/>
                  <dgm:constr type="h" for="ch" forName="dot4" refType="userD"/>
                  <dgm:constr type="ctrX" for="ch" forName="dot5" refType="w" fact="0.5309"/>
                  <dgm:constr type="ctrY" for="ch" forName="dot5" refType="h" fact="0.7222"/>
                  <dgm:constr type="w" for="ch" forName="dot5" refType="userD"/>
                  <dgm:constr type="h" for="ch" forName="dot5" refType="userD"/>
                  <dgm:constr type="ctrX" for="ch" forName="dot6" refType="w" fact="0.5516"/>
                  <dgm:constr type="ctrY" for="ch" forName="dot6" refType="h" fact="0.7518"/>
                  <dgm:constr type="w" for="ch" forName="dot6" refType="userD"/>
                  <dgm:constr type="h" for="ch" forName="dot6" refType="userD"/>
                  <dgm:constr type="ctrX" for="ch" forName="dot7" refType="w" fact="0.4451"/>
                  <dgm:constr type="ctrY" for="ch" forName="dot7" refType="h" fact="0.5422"/>
                  <dgm:constr type="w" for="ch" forName="dot7" refType="userD"/>
                  <dgm:constr type="h" for="ch" forName="dot7" refType="userD"/>
                  <dgm:constr type="ctrX" for="ch" forName="dot8" refType="w" fact="0.399"/>
                  <dgm:constr type="ctrY" for="ch" forName="dot8" refType="h" fact="0.3229"/>
                  <dgm:constr type="w" for="ch" forName="dot8" refType="userD"/>
                  <dgm:constr type="h" for="ch" forName="dot8" refType="userD"/>
                  <dgm:constr type="ctrX" for="ch" forName="dotArrow1" refType="w" fact="0.4221"/>
                  <dgm:constr type="ctrY" for="ch" forName="dotArrow1" refType="h" fact="0.0635"/>
                  <dgm:constr type="w" for="ch" forName="dotArrow1" refType="userD"/>
                  <dgm:constr type="h" for="ch" forName="dotArrow1" refType="userD"/>
                  <dgm:constr type="ctrX" for="ch" forName="dotArrow2" refType="w" fact="0.4049"/>
                  <dgm:constr type="ctrY" for="ch" forName="dotArrow2" refType="h" fact="0.0448"/>
                  <dgm:constr type="w" for="ch" forName="dotArrow2" refType="userD"/>
                  <dgm:constr type="h" for="ch" forName="dotArrow2" refType="userD"/>
                  <dgm:constr type="ctrX" for="ch" forName="dotArrow3" refType="w" fact="0.3877"/>
                  <dgm:constr type="ctrY" for="ch" forName="dotArrow3" refType="h" fact="0.026"/>
                  <dgm:constr type="w" for="ch" forName="dotArrow3" refType="userD"/>
                  <dgm:constr type="h" for="ch" forName="dotArrow3" refType="userD"/>
                  <dgm:constr type="ctrX" for="ch" forName="dotArrow4" refType="w" fact="0.3705"/>
                  <dgm:constr type="ctrY" for="ch" forName="dotArrow4" refType="h" fact="0.0448"/>
                  <dgm:constr type="w" for="ch" forName="dotArrow4" refType="userD"/>
                  <dgm:constr type="h" for="ch" forName="dotArrow4" refType="userD"/>
                  <dgm:constr type="ctrX" for="ch" forName="dotArrow5" refType="w" fact="0.3533"/>
                  <dgm:constr type="ctrY" for="ch" forName="dotArrow5" refType="h" fact="0.0635"/>
                  <dgm:constr type="w" for="ch" forName="dotArrow5" refType="userD"/>
                  <dgm:constr type="h" for="ch" forName="dotArrow5" refType="userD"/>
                  <dgm:constr type="ctrX" for="ch" forName="dotArrow6" refType="w" fact="0.3877"/>
                  <dgm:constr type="ctrY" for="ch" forName="dotArrow6" refType="h" fact="0.0656"/>
                  <dgm:constr type="w" for="ch" forName="dotArrow6" refType="userD"/>
                  <dgm:constr type="h" for="ch" forName="dotArrow6" refType="userD"/>
                  <dgm:constr type="ctrX" for="ch" forName="dotArrow7" refType="w" fact="0.3877"/>
                  <dgm:constr type="ctrY" for="ch" forName="dotArrow7" refType="h" fact="0.1052"/>
                  <dgm:constr type="w" for="ch" forName="dotArrow7" refType="userD"/>
                  <dgm:constr type="h" for="ch" forName="dotArrow7" refType="userD"/>
                  <dgm:constr type="r" for="ch" forName="parTx1" refType="w" fact="0.8254"/>
                  <dgm:constr type="t" for="ch" forName="parTx1" refType="h" fact="0.9304"/>
                  <dgm:constr type="w" for="ch" forName="parTx1" refType="w" fact="0.2544"/>
                  <dgm:constr type="h" for="ch" forName="parTx1" refType="h" fact="0.0962"/>
                  <dgm:constr type="ctrX" for="ch" forName="picture1" refType="w" fact="0.8369"/>
                  <dgm:constr type="ctrY" for="ch" forName="picture1" refType="h" fact="0.9169"/>
                  <dgm:constr type="w" for="ch" forName="picture1" refType="w" fact="0.118"/>
                  <dgm:constr type="h" for="ch" forName="picture1" refType="h" fact="0.166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018"/>
                  <dgm:constr type="t" for="ch" forName="parTx2" refType="h" fact="0.8167"/>
                  <dgm:constr type="w" for="ch" forName="parTx2" refType="w" fact="0.2544"/>
                  <dgm:constr type="h" for="ch" forName="parTx2" refType="h" fact="0.0962"/>
                  <dgm:constr type="ctrX" for="ch" forName="picture2" refType="w" fact="0.6134"/>
                  <dgm:constr type="ctrY" for="ch" forName="picture2" refType="h" fact="0.8032"/>
                  <dgm:constr type="w" for="ch" forName="picture2" refType="w" fact="0.118"/>
                  <dgm:constr type="h" for="ch" forName="picture2" refType="h" fact="0.166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806"/>
                  <dgm:constr type="t" for="ch" forName="parTx3" refType="h" fact="0.6524"/>
                  <dgm:constr type="w" for="ch" forName="parTx3" refType="w" fact="0.2544"/>
                  <dgm:constr type="h" for="ch" forName="parTx3" refType="h" fact="0.0962"/>
                  <dgm:constr type="ctrX" for="ch" forName="picture3" refType="w" fact="0.4922"/>
                  <dgm:constr type="ctrY" for="ch" forName="picture3" refType="h" fact="0.6389"/>
                  <dgm:constr type="w" for="ch" forName="picture3" refType="w" fact="0.118"/>
                  <dgm:constr type="h" for="ch" forName="picture3" refType="h" fact="0.166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173"/>
                  <dgm:constr type="t" for="ch" forName="parTx4" refType="h" fact="0.4412"/>
                  <dgm:constr type="w" for="ch" forName="parTx4" refType="w" fact="0.2544"/>
                  <dgm:constr type="h" for="ch" forName="parTx4" refType="h" fact="0.0962"/>
                  <dgm:constr type="ctrX" for="ch" forName="picture4" refType="w" fact="0.4288"/>
                  <dgm:constr type="ctrY" for="ch" forName="picture4" refType="h" fact="0.4277"/>
                  <dgm:constr type="w" for="ch" forName="picture4" refType="w" fact="0.118"/>
                  <dgm:constr type="h" for="ch" forName="picture4" refType="h" fact="0.166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82"/>
                  <dgm:constr type="t" for="ch" forName="parTx5" refType="h" fact="0.2262"/>
                  <dgm:constr type="w" for="ch" forName="parTx5" refType="w" fact="0.2544"/>
                  <dgm:constr type="h" for="ch" forName="parTx5" refType="h" fact="0.0962"/>
                  <dgm:constr type="ctrX" for="ch" forName="picture5" refType="w" fact="0.3936"/>
                  <dgm:constr type="ctrY" for="ch" forName="picture5" refType="h" fact="0.2127"/>
                  <dgm:constr type="w" for="ch" forName="picture5" refType="w" fact="0.118"/>
                  <dgm:constr type="h" for="ch" forName="picture5" refType="h" fact="0.1663"/>
                  <dgm:constr type="r" for="ch" forName="desTx5" refType="l" refFor="ch" refForName="parTx5"/>
                  <dgm:constr type="l" for="ch" forName="desTx5"/>
                  <dgm:constr type="t" for="ch" forName="desTx5" refType="t" refFor="ch" refForName="parTx5"/>
                  <dgm:constr type="h" for="ch" forName="desTx5" refType="h" refFor="ch" refForName="parTx5"/>
                </dgm:constrLst>
              </dgm:if>
              <dgm:else name="Name51">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6049"/>
                  <dgm:constr type="ctrY" for="ch" forName="dot1" refType="h" fact="0.8674"/>
                  <dgm:constr type="w" for="ch" forName="dot1" refType="userD"/>
                  <dgm:constr type="h" for="ch" forName="dot1" refType="userD"/>
                  <dgm:constr type="ctrX" for="ch" forName="dot2" refType="w" fact="0.6366"/>
                  <dgm:constr type="ctrY" for="ch" forName="dot2" refType="h" fact="0.8824"/>
                  <dgm:constr type="w" for="ch" forName="dot2" refType="userD"/>
                  <dgm:constr type="h" for="ch" forName="dot2" refType="userD"/>
                  <dgm:constr type="ctrX" for="ch" forName="dot3" refType="w" fact="0.669"/>
                  <dgm:constr type="ctrY" for="ch" forName="dot3" refType="h" fact="0.8948"/>
                  <dgm:constr type="w" for="ch" forName="dot3" refType="userD"/>
                  <dgm:constr type="h" for="ch" forName="dot3" refType="userD"/>
                  <dgm:constr type="ctrX" for="ch" forName="dot4" refType="w" fact="0.7019"/>
                  <dgm:constr type="ctrY" for="ch" forName="dot4" refType="h" fact="0.9044"/>
                  <dgm:constr type="w" for="ch" forName="dot4" refType="userD"/>
                  <dgm:constr type="h" for="ch" forName="dot4" refType="userD"/>
                  <dgm:constr type="ctrX" for="ch" forName="dot5" refType="w" fact="0.4319"/>
                  <dgm:constr type="ctrY" for="ch" forName="dot5" refType="h" fact="0.7222"/>
                  <dgm:constr type="w" for="ch" forName="dot5" refType="userD"/>
                  <dgm:constr type="h" for="ch" forName="dot5" refType="userD"/>
                  <dgm:constr type="ctrX" for="ch" forName="dot6" refType="w" fact="0.457"/>
                  <dgm:constr type="ctrY" for="ch" forName="dot6" refType="h" fact="0.7518"/>
                  <dgm:constr type="w" for="ch" forName="dot6" refType="userD"/>
                  <dgm:constr type="h" for="ch" forName="dot6" refType="userD"/>
                  <dgm:constr type="ctrX" for="ch" forName="dot7" refType="w" fact="0.328"/>
                  <dgm:constr type="ctrY" for="ch" forName="dot7" refType="h" fact="0.5422"/>
                  <dgm:constr type="w" for="ch" forName="dot7" refType="userD"/>
                  <dgm:constr type="h" for="ch" forName="dot7" refType="userD"/>
                  <dgm:constr type="ctrX" for="ch" forName="dot8" refType="w" fact="0.2722"/>
                  <dgm:constr type="ctrY" for="ch" forName="dot8" refType="h" fact="0.3229"/>
                  <dgm:constr type="w" for="ch" forName="dot8" refType="userD"/>
                  <dgm:constr type="h" for="ch" forName="dot8" refType="userD"/>
                  <dgm:constr type="ctrX" for="ch" forName="dotArrow1" refType="w" fact="0.3001"/>
                  <dgm:constr type="ctrY" for="ch" forName="dotArrow1" refType="h" fact="0.0635"/>
                  <dgm:constr type="w" for="ch" forName="dotArrow1" refType="userD"/>
                  <dgm:constr type="h" for="ch" forName="dotArrow1" refType="userD"/>
                  <dgm:constr type="ctrX" for="ch" forName="dotArrow2" refType="w" fact="0.2793"/>
                  <dgm:constr type="ctrY" for="ch" forName="dotArrow2" refType="h" fact="0.0448"/>
                  <dgm:constr type="w" for="ch" forName="dotArrow2" refType="userD"/>
                  <dgm:constr type="h" for="ch" forName="dotArrow2" refType="userD"/>
                  <dgm:constr type="ctrX" for="ch" forName="dotArrow3" refType="w" fact="0.2585"/>
                  <dgm:constr type="ctrY" for="ch" forName="dotArrow3" refType="h" fact="0.026"/>
                  <dgm:constr type="w" for="ch" forName="dotArrow3" refType="userD"/>
                  <dgm:constr type="h" for="ch" forName="dotArrow3" refType="userD"/>
                  <dgm:constr type="ctrX" for="ch" forName="dotArrow4" refType="w" fact="0.2376"/>
                  <dgm:constr type="ctrY" for="ch" forName="dotArrow4" refType="h" fact="0.0448"/>
                  <dgm:constr type="w" for="ch" forName="dotArrow4" refType="userD"/>
                  <dgm:constr type="h" for="ch" forName="dotArrow4" refType="userD"/>
                  <dgm:constr type="ctrX" for="ch" forName="dotArrow5" refType="w" fact="0.2168"/>
                  <dgm:constr type="ctrY" for="ch" forName="dotArrow5" refType="h" fact="0.0635"/>
                  <dgm:constr type="w" for="ch" forName="dotArrow5" refType="userD"/>
                  <dgm:constr type="h" for="ch" forName="dotArrow5" refType="userD"/>
                  <dgm:constr type="ctrX" for="ch" forName="dotArrow6" refType="w" fact="0.2585"/>
                  <dgm:constr type="ctrY" for="ch" forName="dotArrow6" refType="h" fact="0.0656"/>
                  <dgm:constr type="w" for="ch" forName="dotArrow6" refType="userD"/>
                  <dgm:constr type="h" for="ch" forName="dotArrow6" refType="userD"/>
                  <dgm:constr type="ctrX" for="ch" forName="dotArrow7" refType="w" fact="0.2585"/>
                  <dgm:constr type="ctrY" for="ch" forName="dotArrow7" refType="h" fact="0.1052"/>
                  <dgm:constr type="w" for="ch" forName="dotArrow7" refType="userD"/>
                  <dgm:constr type="h" for="ch" forName="dotArrow7" refType="userD"/>
                  <dgm:constr type="r" for="ch" forName="parTx1" refType="w" fact="0.7885"/>
                  <dgm:constr type="t" for="ch" forName="parTx1" refType="h" fact="0.928"/>
                  <dgm:constr type="w" for="ch" forName="parTx1" refType="w" fact="0.3081"/>
                  <dgm:constr type="h" for="ch" forName="parTx1" refType="h" fact="0.0962"/>
                  <dgm:constr type="ctrX" for="ch" forName="picture1" refType="w" fact="0.8025"/>
                  <dgm:constr type="ctrY" for="ch" forName="picture1" refType="h" fact="0.9169"/>
                  <dgm:constr type="w" for="ch" forName="picture1" refType="w" fact="0.1429"/>
                  <dgm:constr type="h" for="ch" forName="picture1" refType="h" fact="0.1663"/>
                  <dgm:constr type="r" for="ch" forName="parTx2" refType="w" fact="0.5178"/>
                  <dgm:constr type="t" for="ch" forName="parTx2" refType="h" fact="0.8143"/>
                  <dgm:constr type="w" for="ch" forName="parTx2" refType="w" fact="0.3081"/>
                  <dgm:constr type="h" for="ch" forName="parTx2" refType="h" fact="0.0962"/>
                  <dgm:constr type="ctrX" for="ch" forName="picture2" refType="w" fact="0.5318"/>
                  <dgm:constr type="ctrY" for="ch" forName="picture2" refType="h" fact="0.8032"/>
                  <dgm:constr type="w" for="ch" forName="picture2" refType="w" fact="0.1429"/>
                  <dgm:constr type="h" for="ch" forName="picture2" refType="h" fact="0.1663"/>
                  <dgm:constr type="r" for="ch" forName="parTx3" refType="w" fact="0.371"/>
                  <dgm:constr type="t" for="ch" forName="parTx3" refType="h" fact="0.65"/>
                  <dgm:constr type="w" for="ch" forName="parTx3" refType="w" fact="0.3081"/>
                  <dgm:constr type="h" for="ch" forName="parTx3" refType="h" fact="0.0962"/>
                  <dgm:constr type="ctrX" for="ch" forName="picture3" refType="w" fact="0.385"/>
                  <dgm:constr type="ctrY" for="ch" forName="picture3" refType="h" fact="0.6389"/>
                  <dgm:constr type="w" for="ch" forName="picture3" refType="w" fact="0.1429"/>
                  <dgm:constr type="h" for="ch" forName="picture3" refType="h" fact="0.1663"/>
                  <dgm:constr type="r" for="ch" forName="parTx4" refType="w" fact="0.2943"/>
                  <dgm:constr type="t" for="ch" forName="parTx4" refType="h" fact="0.4388"/>
                  <dgm:constr type="w" for="ch" forName="parTx4" refType="w" fact="0.3081"/>
                  <dgm:constr type="h" for="ch" forName="parTx4" refType="h" fact="0.0962"/>
                  <dgm:constr type="ctrX" for="ch" forName="picture4" refType="w" fact="0.3083"/>
                  <dgm:constr type="ctrY" for="ch" forName="picture4" refType="h" fact="0.4277"/>
                  <dgm:constr type="w" for="ch" forName="picture4" refType="w" fact="0.1429"/>
                  <dgm:constr type="h" for="ch" forName="picture4" refType="h" fact="0.1663"/>
                  <dgm:constr type="r" for="ch" forName="parTx5" refType="w" fact="0.2516"/>
                  <dgm:constr type="t" for="ch" forName="parTx5" refType="h" fact="0.2238"/>
                  <dgm:constr type="w" for="ch" forName="parTx5" refType="w" fact="0.3081"/>
                  <dgm:constr type="h" for="ch" forName="parTx5" refType="h" fact="0.0962"/>
                  <dgm:constr type="ctrX" for="ch" forName="picture5" refType="w" fact="0.2656"/>
                  <dgm:constr type="ctrY" for="ch" forName="picture5" refType="h" fact="0.2127"/>
                  <dgm:constr type="w" for="ch" forName="picture5" refType="w" fact="0.1429"/>
                  <dgm:constr type="h" for="ch" forName="picture5" refType="h" fact="0.1663"/>
                </dgm:constrLst>
              </dgm:else>
            </dgm:choose>
          </dgm:else>
        </dgm:choose>
      </dgm:if>
      <dgm:if name="Name52" axis="ch" ptType="node" func="cnt" op="equ" val="6">
        <dgm:choose name="Name53">
          <dgm:if name="Name54" func="var" arg="dir" op="equ" val="norm">
            <dgm:choose name="Name55">
              <dgm:if name="Name56"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3608"/>
                  <dgm:constr type="ctrY" for="ch" forName="dot1" refType="h" fact="0.8839"/>
                  <dgm:constr type="w" for="ch" forName="dot1" refType="userD"/>
                  <dgm:constr type="h" for="ch" forName="dot1" refType="userD"/>
                  <dgm:constr type="ctrX" for="ch" forName="dot2" refType="w" fact="0.3384"/>
                  <dgm:constr type="ctrY" for="ch" forName="dot2" refType="h" fact="0.8967"/>
                  <dgm:constr type="w" for="ch" forName="dot2" refType="userD"/>
                  <dgm:constr type="h" for="ch" forName="dot2" refType="userD"/>
                  <dgm:constr type="ctrX" for="ch" forName="dot3" refType="w" fact="0.3155"/>
                  <dgm:constr type="ctrY" for="ch" forName="dot3" refType="h" fact="0.9076"/>
                  <dgm:constr type="w" for="ch" forName="dot3" refType="userD"/>
                  <dgm:constr type="h" for="ch" forName="dot3" refType="userD"/>
                  <dgm:constr type="ctrX" for="ch" forName="dot4" refType="w" fact="0.2923"/>
                  <dgm:constr type="ctrY" for="ch" forName="dot4" refType="h" fact="0.9165"/>
                  <dgm:constr type="w" for="ch" forName="dot4" refType="userD"/>
                  <dgm:constr type="h" for="ch" forName="dot4" refType="userD"/>
                  <dgm:constr type="ctrX" for="ch" forName="dot5" refType="w" fact="0.2688"/>
                  <dgm:constr type="ctrY" for="ch" forName="dot5" refType="h" fact="0.9234"/>
                  <dgm:constr type="w" for="ch" forName="dot5" refType="userD"/>
                  <dgm:constr type="h" for="ch" forName="dot5" refType="userD"/>
                  <dgm:constr type="ctrX" for="ch" forName="dot6" refType="w" fact="0.4883"/>
                  <dgm:constr type="ctrY" for="ch" forName="dot6" refType="h" fact="0.764"/>
                  <dgm:constr type="w" for="ch" forName="dot6" refType="userD"/>
                  <dgm:constr type="h" for="ch" forName="dot6" refType="userD"/>
                  <dgm:constr type="ctrX" for="ch" forName="dot7" refType="w" fact="0.4695"/>
                  <dgm:constr type="ctrY" for="ch" forName="dot7" refType="h" fact="0.7878"/>
                  <dgm:constr type="w" for="ch" forName="dot7" refType="userD"/>
                  <dgm:constr type="h" for="ch" forName="dot7" refType="userD"/>
                  <dgm:constr type="ctrX" for="ch" forName="dot8" refType="w" fact="0.5696"/>
                  <dgm:constr type="ctrY" for="ch" forName="dot8" refType="h" fact="0.6227"/>
                  <dgm:constr type="w" for="ch" forName="dot8" refType="userD"/>
                  <dgm:constr type="h" for="ch" forName="dot8" refType="userD"/>
                  <dgm:constr type="ctrX" for="ch" forName="dot9" refType="w" fact="0.6247"/>
                  <dgm:constr type="ctrY" for="ch" forName="dot9" refType="h" fact="0.4556"/>
                  <dgm:constr type="w" for="ch" forName="dot9" refType="userD"/>
                  <dgm:constr type="h" for="ch" forName="dot9" refType="userD"/>
                  <dgm:constr type="ctrX" for="ch" forName="dot10" refType="w" fact="0.6509"/>
                  <dgm:constr type="ctrY" for="ch" forName="dot10" refType="h" fact="0.2816"/>
                  <dgm:constr type="w" for="ch" forName="dot10" refType="userD"/>
                  <dgm:constr type="h" for="ch" forName="dot10" refType="userD"/>
                  <dgm:constr type="ctrX" for="ch" forName="dotArrow1" refType="w" fact="0.6281"/>
                  <dgm:constr type="ctrY" for="ch" forName="dotArrow1" refType="h" fact="0.0748"/>
                  <dgm:constr type="w" for="ch" forName="dotArrow1" refType="userD"/>
                  <dgm:constr type="h" for="ch" forName="dotArrow1" refType="userD"/>
                  <dgm:constr type="ctrX" for="ch" forName="dotArrow2" refType="w" fact="0.6437"/>
                  <dgm:constr type="ctrY" for="ch" forName="dotArrow2" refType="h" fact="0.0581"/>
                  <dgm:constr type="w" for="ch" forName="dotArrow2" refType="userD"/>
                  <dgm:constr type="h" for="ch" forName="dotArrow2" refType="userD"/>
                  <dgm:constr type="ctrX" for="ch" forName="dotArrow3" refType="w" fact="0.6593"/>
                  <dgm:constr type="ctrY" for="ch" forName="dotArrow3" refType="h" fact="0.0414"/>
                  <dgm:constr type="w" for="ch" forName="dotArrow3" refType="userD"/>
                  <dgm:constr type="h" for="ch" forName="dotArrow3" refType="userD"/>
                  <dgm:constr type="ctrX" for="ch" forName="dotArrow4" refType="w" fact="0.675"/>
                  <dgm:constr type="ctrY" for="ch" forName="dotArrow4" refType="h" fact="0.0581"/>
                  <dgm:constr type="w" for="ch" forName="dotArrow4" refType="userD"/>
                  <dgm:constr type="h" for="ch" forName="dotArrow4" refType="userD"/>
                  <dgm:constr type="ctrX" for="ch" forName="dotArrow5" refType="w" fact="0.6906"/>
                  <dgm:constr type="ctrY" for="ch" forName="dotArrow5" refType="h" fact="0.0748"/>
                  <dgm:constr type="w" for="ch" forName="dotArrow5" refType="userD"/>
                  <dgm:constr type="h" for="ch" forName="dotArrow5" refType="userD"/>
                  <dgm:constr type="ctrX" for="ch" forName="dotArrow6" refType="w" fact="0.6593"/>
                  <dgm:constr type="ctrY" for="ch" forName="dotArrow6" refType="h" fact="0.0766"/>
                  <dgm:constr type="w" for="ch" forName="dotArrow6" refType="userD"/>
                  <dgm:constr type="h" for="ch" forName="dotArrow6" refType="userD"/>
                  <dgm:constr type="ctrX" for="ch" forName="dotArrow7" refType="w" fact="0.6593"/>
                  <dgm:constr type="ctrY" for="ch" forName="dotArrow7" refType="h" fact="0.1118"/>
                  <dgm:constr type="w" for="ch" forName="dotArrow7" refType="userD"/>
                  <dgm:constr type="h" for="ch" forName="dotArrow7" refType="userD"/>
                  <dgm:constr type="l" for="ch" forName="parTx1" refType="w" fact="0.2091"/>
                  <dgm:constr type="t" for="ch" forName="parTx1" refType="h" fact="0.9433"/>
                  <dgm:constr type="w" for="ch" forName="parTx1" refType="w" fact="0.2275"/>
                  <dgm:constr type="h" for="ch" forName="parTx1" refType="h" fact="0.0811"/>
                  <dgm:constr type="ctrX" for="ch" forName="picture1" refType="w" fact="0.1988"/>
                  <dgm:constr type="ctrY" for="ch" forName="picture1" refType="h" fact="0.9322"/>
                  <dgm:constr type="w" for="ch" forName="picture1" refType="w" fact="0.1055"/>
                  <dgm:constr type="h" for="ch" forName="picture1" refType="h" fact="0.140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273"/>
                  <dgm:constr type="t" for="ch" forName="parTx2" refType="h" fact="0.8468"/>
                  <dgm:constr type="w" for="ch" forName="parTx2" refType="w" fact="0.2275"/>
                  <dgm:constr type="h" for="ch" forName="parTx2" refType="h" fact="0.0811"/>
                  <dgm:constr type="ctrX" for="ch" forName="picture2" refType="w" fact="0.4169"/>
                  <dgm:constr type="ctrY" for="ch" forName="picture2" refType="h" fact="0.8357"/>
                  <dgm:constr type="w" for="ch" forName="picture2" refType="w" fact="0.1055"/>
                  <dgm:constr type="h" for="ch" forName="picture2" refType="h" fact="0.140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349"/>
                  <dgm:constr type="t" for="ch" forName="parTx3" refType="h" fact="0.7023"/>
                  <dgm:constr type="w" for="ch" forName="parTx3" refType="w" fact="0.2275"/>
                  <dgm:constr type="h" for="ch" forName="parTx3" refType="h" fact="0.0811"/>
                  <dgm:constr type="ctrX" for="ch" forName="picture3" refType="w" fact="0.5245"/>
                  <dgm:constr type="ctrY" for="ch" forName="picture3" refType="h" fact="0.6912"/>
                  <dgm:constr type="w" for="ch" forName="picture3" refType="w" fact="0.1055"/>
                  <dgm:constr type="h" for="ch" forName="picture3" refType="h" fact="0.140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998"/>
                  <dgm:constr type="t" for="ch" forName="parTx4" refType="h" fact="0.5441"/>
                  <dgm:constr type="w" for="ch" forName="parTx4" refType="w" fact="0.2275"/>
                  <dgm:constr type="h" for="ch" forName="parTx4" refType="h" fact="0.0811"/>
                  <dgm:constr type="ctrX" for="ch" forName="picture4" refType="w" fact="0.5894"/>
                  <dgm:constr type="ctrY" for="ch" forName="picture4" refType="h" fact="0.533"/>
                  <dgm:constr type="w" for="ch" forName="picture4" refType="w" fact="0.1055"/>
                  <dgm:constr type="h" for="ch" forName="picture4" refType="h" fact="0.140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416"/>
                  <dgm:constr type="t" for="ch" forName="parTx5" refType="h" fact="0.3737"/>
                  <dgm:constr type="w" for="ch" forName="parTx5" refType="w" fact="0.2275"/>
                  <dgm:constr type="h" for="ch" forName="parTx5" refType="h" fact="0.0811"/>
                  <dgm:constr type="ctrX" for="ch" forName="picture5" refType="w" fact="0.6313"/>
                  <dgm:constr type="ctrY" for="ch" forName="picture5" refType="h" fact="0.3626"/>
                  <dgm:constr type="w" for="ch" forName="picture5" refType="w" fact="0.1055"/>
                  <dgm:constr type="h" for="ch" forName="picture5" refType="h" fact="0.1403"/>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644"/>
                  <dgm:constr type="t" for="ch" forName="parTx6" refType="h" fact="0.2061"/>
                  <dgm:constr type="w" for="ch" forName="parTx6" refType="w" fact="0.2275"/>
                  <dgm:constr type="h" for="ch" forName="parTx6" refType="h" fact="0.0811"/>
                  <dgm:constr type="ctrX" for="ch" forName="picture6" refType="w" fact="0.6541"/>
                  <dgm:constr type="ctrY" for="ch" forName="picture6" refType="h" fact="0.195"/>
                  <dgm:constr type="w" for="ch" forName="picture6" refType="w" fact="0.1055"/>
                  <dgm:constr type="h" for="ch" forName="picture6" refType="h" fact="0.1403"/>
                  <dgm:constr type="l" for="ch" forName="desTx6" refType="r" refFor="ch" refForName="parTx6"/>
                  <dgm:constr type="r" for="ch" forName="desTx6" refType="w"/>
                  <dgm:constr type="t" for="ch" forName="desTx6" refType="t" refFor="ch" refForName="parTx6"/>
                  <dgm:constr type="h" for="ch" forName="desTx6" refType="h" refFor="ch" refForName="parTx6"/>
                </dgm:constrLst>
              </dgm:if>
              <dgm:else name="Name57">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4276"/>
                  <dgm:constr type="ctrY" for="ch" forName="dot1" refType="h" fact="0.8839"/>
                  <dgm:constr type="w" for="ch" forName="dot1" refType="userD"/>
                  <dgm:constr type="h" for="ch" forName="dot1" refType="userD"/>
                  <dgm:constr type="ctrX" for="ch" forName="dot2" refType="w" fact="0.401"/>
                  <dgm:constr type="ctrY" for="ch" forName="dot2" refType="h" fact="0.8967"/>
                  <dgm:constr type="w" for="ch" forName="dot2" refType="userD"/>
                  <dgm:constr type="h" for="ch" forName="dot2" refType="userD"/>
                  <dgm:constr type="ctrX" for="ch" forName="dot3" refType="w" fact="0.3739"/>
                  <dgm:constr type="ctrY" for="ch" forName="dot3" refType="h" fact="0.9076"/>
                  <dgm:constr type="w" for="ch" forName="dot3" refType="userD"/>
                  <dgm:constr type="h" for="ch" forName="dot3" refType="userD"/>
                  <dgm:constr type="ctrX" for="ch" forName="dot4" refType="w" fact="0.3464"/>
                  <dgm:constr type="ctrY" for="ch" forName="dot4" refType="h" fact="0.9165"/>
                  <dgm:constr type="w" for="ch" forName="dot4" refType="userD"/>
                  <dgm:constr type="h" for="ch" forName="dot4" refType="userD"/>
                  <dgm:constr type="ctrX" for="ch" forName="dot5" refType="w" fact="0.3186"/>
                  <dgm:constr type="ctrY" for="ch" forName="dot5" refType="h" fact="0.9234"/>
                  <dgm:constr type="w" for="ch" forName="dot5" refType="userD"/>
                  <dgm:constr type="h" for="ch" forName="dot5" refType="userD"/>
                  <dgm:constr type="ctrX" for="ch" forName="dot6" refType="w" fact="0.5786"/>
                  <dgm:constr type="ctrY" for="ch" forName="dot6" refType="h" fact="0.764"/>
                  <dgm:constr type="w" for="ch" forName="dot6" refType="userD"/>
                  <dgm:constr type="h" for="ch" forName="dot6" refType="userD"/>
                  <dgm:constr type="ctrX" for="ch" forName="dot7" refType="w" fact="0.5564"/>
                  <dgm:constr type="ctrY" for="ch" forName="dot7" refType="h" fact="0.7878"/>
                  <dgm:constr type="w" for="ch" forName="dot7" refType="userD"/>
                  <dgm:constr type="h" for="ch" forName="dot7" refType="userD"/>
                  <dgm:constr type="ctrX" for="ch" forName="dot8" refType="w" fact="0.675"/>
                  <dgm:constr type="ctrY" for="ch" forName="dot8" refType="h" fact="0.6227"/>
                  <dgm:constr type="w" for="ch" forName="dot8" refType="userD"/>
                  <dgm:constr type="h" for="ch" forName="dot8" refType="userD"/>
                  <dgm:constr type="ctrX" for="ch" forName="dot9" refType="w" fact="0.7403"/>
                  <dgm:constr type="ctrY" for="ch" forName="dot9" refType="h" fact="0.4556"/>
                  <dgm:constr type="w" for="ch" forName="dot9" refType="userD"/>
                  <dgm:constr type="h" for="ch" forName="dot9" refType="userD"/>
                  <dgm:constr type="ctrX" for="ch" forName="dot10" refType="w" fact="0.7714"/>
                  <dgm:constr type="ctrY" for="ch" forName="dot10" refType="h" fact="0.2816"/>
                  <dgm:constr type="w" for="ch" forName="dot10" refType="userD"/>
                  <dgm:constr type="h" for="ch" forName="dot10" refType="userD"/>
                  <dgm:constr type="ctrX" for="ch" forName="dotArrow1" refType="w" fact="0.7443"/>
                  <dgm:constr type="ctrY" for="ch" forName="dotArrow1" refType="h" fact="0.0748"/>
                  <dgm:constr type="w" for="ch" forName="dotArrow1" refType="userD"/>
                  <dgm:constr type="h" for="ch" forName="dotArrow1" refType="userD"/>
                  <dgm:constr type="ctrX" for="ch" forName="dotArrow2" refType="w" fact="0.7628"/>
                  <dgm:constr type="ctrY" for="ch" forName="dotArrow2" refType="h" fact="0.0581"/>
                  <dgm:constr type="w" for="ch" forName="dotArrow2" refType="userD"/>
                  <dgm:constr type="h" for="ch" forName="dotArrow2" refType="userD"/>
                  <dgm:constr type="ctrX" for="ch" forName="dotArrow3" refType="w" fact="0.7814"/>
                  <dgm:constr type="ctrY" for="ch" forName="dotArrow3" refType="h" fact="0.0414"/>
                  <dgm:constr type="w" for="ch" forName="dotArrow3" refType="userD"/>
                  <dgm:constr type="h" for="ch" forName="dotArrow3" refType="userD"/>
                  <dgm:constr type="ctrX" for="ch" forName="dotArrow4" refType="w" fact="0.7999"/>
                  <dgm:constr type="ctrY" for="ch" forName="dotArrow4" refType="h" fact="0.0581"/>
                  <dgm:constr type="w" for="ch" forName="dotArrow4" refType="userD"/>
                  <dgm:constr type="h" for="ch" forName="dotArrow4" refType="userD"/>
                  <dgm:constr type="ctrX" for="ch" forName="dotArrow5" refType="w" fact="0.8184"/>
                  <dgm:constr type="ctrY" for="ch" forName="dotArrow5" refType="h" fact="0.0748"/>
                  <dgm:constr type="w" for="ch" forName="dotArrow5" refType="userD"/>
                  <dgm:constr type="h" for="ch" forName="dotArrow5" refType="userD"/>
                  <dgm:constr type="ctrX" for="ch" forName="dotArrow6" refType="w" fact="0.7814"/>
                  <dgm:constr type="ctrY" for="ch" forName="dotArrow6" refType="h" fact="0.0766"/>
                  <dgm:constr type="w" for="ch" forName="dotArrow6" refType="userD"/>
                  <dgm:constr type="h" for="ch" forName="dotArrow6" refType="userD"/>
                  <dgm:constr type="ctrX" for="ch" forName="dotArrow7" refType="w" fact="0.7814"/>
                  <dgm:constr type="ctrY" for="ch" forName="dotArrow7" refType="h" fact="0.1118"/>
                  <dgm:constr type="w" for="ch" forName="dotArrow7" refType="userD"/>
                  <dgm:constr type="h" for="ch" forName="dotArrow7" refType="userD"/>
                  <dgm:constr type="l" for="ch" forName="parTx1" refType="w" fact="0.2479"/>
                  <dgm:constr type="t" for="ch" forName="parTx1" refType="h" fact="0.9416"/>
                  <dgm:constr type="w" for="ch" forName="parTx1" refType="w" fact="0.2696"/>
                  <dgm:constr type="h" for="ch" forName="parTx1" refType="h" fact="0.0811"/>
                  <dgm:constr type="ctrX" for="ch" forName="picture1" refType="w" fact="0.2356"/>
                  <dgm:constr type="ctrY" for="ch" forName="picture1" refType="h" fact="0.9322"/>
                  <dgm:constr type="w" for="ch" forName="picture1" refType="w" fact="0.125"/>
                  <dgm:constr type="h" for="ch" forName="picture1" refType="h" fact="0.1403"/>
                  <dgm:constr type="l" for="ch" forName="parTx2" refType="w" fact="0.5064"/>
                  <dgm:constr type="t" for="ch" forName="parTx2" refType="h" fact="0.8451"/>
                  <dgm:constr type="w" for="ch" forName="parTx2" refType="w" fact="0.2696"/>
                  <dgm:constr type="h" for="ch" forName="parTx2" refType="h" fact="0.0811"/>
                  <dgm:constr type="ctrX" for="ch" forName="picture2" refType="w" fact="0.4941"/>
                  <dgm:constr type="ctrY" for="ch" forName="picture2" refType="h" fact="0.8357"/>
                  <dgm:constr type="w" for="ch" forName="picture2" refType="w" fact="0.125"/>
                  <dgm:constr type="h" for="ch" forName="picture2" refType="h" fact="0.1403"/>
                  <dgm:constr type="l" for="ch" forName="parTx3" refType="w" fact="0.6339"/>
                  <dgm:constr type="t" for="ch" forName="parTx3" refType="h" fact="0.7006"/>
                  <dgm:constr type="w" for="ch" forName="parTx3" refType="w" fact="0.2696"/>
                  <dgm:constr type="h" for="ch" forName="parTx3" refType="h" fact="0.0811"/>
                  <dgm:constr type="ctrX" for="ch" forName="picture3" refType="w" fact="0.6216"/>
                  <dgm:constr type="ctrY" for="ch" forName="picture3" refType="h" fact="0.6912"/>
                  <dgm:constr type="w" for="ch" forName="picture3" refType="w" fact="0.125"/>
                  <dgm:constr type="h" for="ch" forName="picture3" refType="h" fact="0.1403"/>
                  <dgm:constr type="l" for="ch" forName="parTx4" refType="w" fact="0.7108"/>
                  <dgm:constr type="t" for="ch" forName="parTx4" refType="h" fact="0.5424"/>
                  <dgm:constr type="w" for="ch" forName="parTx4" refType="w" fact="0.2696"/>
                  <dgm:constr type="h" for="ch" forName="parTx4" refType="h" fact="0.0811"/>
                  <dgm:constr type="ctrX" for="ch" forName="picture4" refType="w" fact="0.6985"/>
                  <dgm:constr type="ctrY" for="ch" forName="picture4" refType="h" fact="0.533"/>
                  <dgm:constr type="w" for="ch" forName="picture4" refType="w" fact="0.125"/>
                  <dgm:constr type="h" for="ch" forName="picture4" refType="h" fact="0.1403"/>
                  <dgm:constr type="l" for="ch" forName="parTx5" refType="w" fact="0.7604"/>
                  <dgm:constr type="t" for="ch" forName="parTx5" refType="h" fact="0.372"/>
                  <dgm:constr type="w" for="ch" forName="parTx5" refType="w" fact="0.2696"/>
                  <dgm:constr type="h" for="ch" forName="parTx5" refType="h" fact="0.0811"/>
                  <dgm:constr type="ctrX" for="ch" forName="picture5" refType="w" fact="0.7481"/>
                  <dgm:constr type="ctrY" for="ch" forName="picture5" refType="h" fact="0.3626"/>
                  <dgm:constr type="w" for="ch" forName="picture5" refType="w" fact="0.125"/>
                  <dgm:constr type="h" for="ch" forName="picture5" refType="h" fact="0.1403"/>
                  <dgm:constr type="l" for="ch" forName="parTx6" refType="w" fact="0.7874"/>
                  <dgm:constr type="t" for="ch" forName="parTx6" refType="h" fact="0.2044"/>
                  <dgm:constr type="w" for="ch" forName="parTx6" refType="w" fact="0.2696"/>
                  <dgm:constr type="h" for="ch" forName="parTx6" refType="h" fact="0.0811"/>
                  <dgm:constr type="ctrX" for="ch" forName="picture6" refType="w" fact="0.7751"/>
                  <dgm:constr type="ctrY" for="ch" forName="picture6" refType="h" fact="0.195"/>
                  <dgm:constr type="w" for="ch" forName="picture6" refType="w" fact="0.125"/>
                  <dgm:constr type="h" for="ch" forName="picture6" refType="h" fact="0.1403"/>
                </dgm:constrLst>
              </dgm:else>
            </dgm:choose>
          </dgm:if>
          <dgm:else name="Name58">
            <dgm:choose name="Name59">
              <dgm:if name="Name60"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6392"/>
                  <dgm:constr type="ctrY" for="ch" forName="dot1" refType="h" fact="0.8839"/>
                  <dgm:constr type="w" for="ch" forName="dot1" refType="userD"/>
                  <dgm:constr type="h" for="ch" forName="dot1" refType="userD"/>
                  <dgm:constr type="ctrX" for="ch" forName="dot2" refType="w" fact="0.6616"/>
                  <dgm:constr type="ctrY" for="ch" forName="dot2" refType="h" fact="0.8967"/>
                  <dgm:constr type="w" for="ch" forName="dot2" refType="userD"/>
                  <dgm:constr type="h" for="ch" forName="dot2" refType="userD"/>
                  <dgm:constr type="ctrX" for="ch" forName="dot3" refType="w" fact="0.6845"/>
                  <dgm:constr type="ctrY" for="ch" forName="dot3" refType="h" fact="0.9076"/>
                  <dgm:constr type="w" for="ch" forName="dot3" refType="userD"/>
                  <dgm:constr type="h" for="ch" forName="dot3" refType="userD"/>
                  <dgm:constr type="ctrX" for="ch" forName="dot4" refType="w" fact="0.7077"/>
                  <dgm:constr type="ctrY" for="ch" forName="dot4" refType="h" fact="0.9165"/>
                  <dgm:constr type="w" for="ch" forName="dot4" refType="userD"/>
                  <dgm:constr type="h" for="ch" forName="dot4" refType="userD"/>
                  <dgm:constr type="ctrX" for="ch" forName="dot5" refType="w" fact="0.7312"/>
                  <dgm:constr type="ctrY" for="ch" forName="dot5" refType="h" fact="0.9234"/>
                  <dgm:constr type="w" for="ch" forName="dot5" refType="userD"/>
                  <dgm:constr type="h" for="ch" forName="dot5" refType="userD"/>
                  <dgm:constr type="ctrX" for="ch" forName="dot6" refType="w" fact="0.5117"/>
                  <dgm:constr type="ctrY" for="ch" forName="dot6" refType="h" fact="0.764"/>
                  <dgm:constr type="w" for="ch" forName="dot6" refType="userD"/>
                  <dgm:constr type="h" for="ch" forName="dot6" refType="userD"/>
                  <dgm:constr type="ctrX" for="ch" forName="dot7" refType="w" fact="0.5305"/>
                  <dgm:constr type="ctrY" for="ch" forName="dot7" refType="h" fact="0.7878"/>
                  <dgm:constr type="w" for="ch" forName="dot7" refType="userD"/>
                  <dgm:constr type="h" for="ch" forName="dot7" refType="userD"/>
                  <dgm:constr type="ctrX" for="ch" forName="dot8" refType="w" fact="0.4304"/>
                  <dgm:constr type="ctrY" for="ch" forName="dot8" refType="h" fact="0.6227"/>
                  <dgm:constr type="w" for="ch" forName="dot8" refType="userD"/>
                  <dgm:constr type="h" for="ch" forName="dot8" refType="userD"/>
                  <dgm:constr type="ctrX" for="ch" forName="dot9" refType="w" fact="0.3753"/>
                  <dgm:constr type="ctrY" for="ch" forName="dot9" refType="h" fact="0.4556"/>
                  <dgm:constr type="w" for="ch" forName="dot9" refType="userD"/>
                  <dgm:constr type="h" for="ch" forName="dot9" refType="userD"/>
                  <dgm:constr type="ctrX" for="ch" forName="dot10" refType="w" fact="0.3491"/>
                  <dgm:constr type="ctrY" for="ch" forName="dot10" refType="h" fact="0.2816"/>
                  <dgm:constr type="w" for="ch" forName="dot10" refType="userD"/>
                  <dgm:constr type="h" for="ch" forName="dot10" refType="userD"/>
                  <dgm:constr type="ctrX" for="ch" forName="dotArrow1" refType="w" fact="0.3719"/>
                  <dgm:constr type="ctrY" for="ch" forName="dotArrow1" refType="h" fact="0.0748"/>
                  <dgm:constr type="w" for="ch" forName="dotArrow1" refType="userD"/>
                  <dgm:constr type="h" for="ch" forName="dotArrow1" refType="userD"/>
                  <dgm:constr type="ctrX" for="ch" forName="dotArrow2" refType="w" fact="0.3563"/>
                  <dgm:constr type="ctrY" for="ch" forName="dotArrow2" refType="h" fact="0.0581"/>
                  <dgm:constr type="w" for="ch" forName="dotArrow2" refType="userD"/>
                  <dgm:constr type="h" for="ch" forName="dotArrow2" refType="userD"/>
                  <dgm:constr type="ctrX" for="ch" forName="dotArrow3" refType="w" fact="0.3407"/>
                  <dgm:constr type="ctrY" for="ch" forName="dotArrow3" refType="h" fact="0.0414"/>
                  <dgm:constr type="w" for="ch" forName="dotArrow3" refType="userD"/>
                  <dgm:constr type="h" for="ch" forName="dotArrow3" refType="userD"/>
                  <dgm:constr type="ctrX" for="ch" forName="dotArrow4" refType="w" fact="0.325"/>
                  <dgm:constr type="ctrY" for="ch" forName="dotArrow4" refType="h" fact="0.0581"/>
                  <dgm:constr type="w" for="ch" forName="dotArrow4" refType="userD"/>
                  <dgm:constr type="h" for="ch" forName="dotArrow4" refType="userD"/>
                  <dgm:constr type="ctrX" for="ch" forName="dotArrow5" refType="w" fact="0.3094"/>
                  <dgm:constr type="ctrY" for="ch" forName="dotArrow5" refType="h" fact="0.0748"/>
                  <dgm:constr type="w" for="ch" forName="dotArrow5" refType="userD"/>
                  <dgm:constr type="h" for="ch" forName="dotArrow5" refType="userD"/>
                  <dgm:constr type="ctrX" for="ch" forName="dotArrow6" refType="w" fact="0.3407"/>
                  <dgm:constr type="ctrY" for="ch" forName="dotArrow6" refType="h" fact="0.0766"/>
                  <dgm:constr type="w" for="ch" forName="dotArrow6" refType="userD"/>
                  <dgm:constr type="h" for="ch" forName="dotArrow6" refType="userD"/>
                  <dgm:constr type="ctrX" for="ch" forName="dotArrow7" refType="w" fact="0.3407"/>
                  <dgm:constr type="ctrY" for="ch" forName="dotArrow7" refType="h" fact="0.1118"/>
                  <dgm:constr type="w" for="ch" forName="dotArrow7" refType="userD"/>
                  <dgm:constr type="h" for="ch" forName="dotArrow7" refType="userD"/>
                  <dgm:constr type="r" for="ch" forName="parTx1" refType="w" fact="0.7909"/>
                  <dgm:constr type="t" for="ch" forName="parTx1" refType="h" fact="0.9433"/>
                  <dgm:constr type="w" for="ch" forName="parTx1" refType="w" fact="0.2275"/>
                  <dgm:constr type="h" for="ch" forName="parTx1" refType="h" fact="0.0811"/>
                  <dgm:constr type="ctrX" for="ch" forName="picture1" refType="w" fact="0.8012"/>
                  <dgm:constr type="ctrY" for="ch" forName="picture1" refType="h" fact="0.9322"/>
                  <dgm:constr type="w" for="ch" forName="picture1" refType="w" fact="0.1055"/>
                  <dgm:constr type="h" for="ch" forName="picture1" refType="h" fact="0.140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727"/>
                  <dgm:constr type="t" for="ch" forName="parTx2" refType="h" fact="0.8468"/>
                  <dgm:constr type="w" for="ch" forName="parTx2" refType="w" fact="0.2275"/>
                  <dgm:constr type="h" for="ch" forName="parTx2" refType="h" fact="0.0811"/>
                  <dgm:constr type="ctrX" for="ch" forName="picture2" refType="w" fact="0.5831"/>
                  <dgm:constr type="ctrY" for="ch" forName="picture2" refType="h" fact="0.8357"/>
                  <dgm:constr type="w" for="ch" forName="picture2" refType="w" fact="0.1055"/>
                  <dgm:constr type="h" for="ch" forName="picture2" refType="h" fact="0.140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651"/>
                  <dgm:constr type="t" for="ch" forName="parTx3" refType="h" fact="0.7023"/>
                  <dgm:constr type="w" for="ch" forName="parTx3" refType="w" fact="0.2275"/>
                  <dgm:constr type="h" for="ch" forName="parTx3" refType="h" fact="0.0811"/>
                  <dgm:constr type="ctrX" for="ch" forName="picture3" refType="w" fact="0.4755"/>
                  <dgm:constr type="ctrY" for="ch" forName="picture3" refType="h" fact="0.6912"/>
                  <dgm:constr type="w" for="ch" forName="picture3" refType="w" fact="0.1055"/>
                  <dgm:constr type="h" for="ch" forName="picture3" refType="h" fact="0.140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002"/>
                  <dgm:constr type="t" for="ch" forName="parTx4" refType="h" fact="0.5441"/>
                  <dgm:constr type="w" for="ch" forName="parTx4" refType="w" fact="0.2275"/>
                  <dgm:constr type="h" for="ch" forName="parTx4" refType="h" fact="0.0811"/>
                  <dgm:constr type="ctrX" for="ch" forName="picture4" refType="w" fact="0.4106"/>
                  <dgm:constr type="ctrY" for="ch" forName="picture4" refType="h" fact="0.533"/>
                  <dgm:constr type="w" for="ch" forName="picture4" refType="w" fact="0.1055"/>
                  <dgm:constr type="h" for="ch" forName="picture4" refType="h" fact="0.140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584"/>
                  <dgm:constr type="t" for="ch" forName="parTx5" refType="h" fact="0.3737"/>
                  <dgm:constr type="w" for="ch" forName="parTx5" refType="w" fact="0.2275"/>
                  <dgm:constr type="h" for="ch" forName="parTx5" refType="h" fact="0.0811"/>
                  <dgm:constr type="ctrX" for="ch" forName="picture5" refType="w" fact="0.3687"/>
                  <dgm:constr type="ctrY" for="ch" forName="picture5" refType="h" fact="0.3626"/>
                  <dgm:constr type="w" for="ch" forName="picture5" refType="w" fact="0.1055"/>
                  <dgm:constr type="h" for="ch" forName="picture5" refType="h" fact="0.1403"/>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356"/>
                  <dgm:constr type="t" for="ch" forName="parTx6" refType="h" fact="0.2061"/>
                  <dgm:constr type="w" for="ch" forName="parTx6" refType="w" fact="0.2275"/>
                  <dgm:constr type="h" for="ch" forName="parTx6" refType="h" fact="0.0811"/>
                  <dgm:constr type="ctrX" for="ch" forName="picture6" refType="w" fact="0.3459"/>
                  <dgm:constr type="ctrY" for="ch" forName="picture6" refType="h" fact="0.195"/>
                  <dgm:constr type="w" for="ch" forName="picture6" refType="w" fact="0.1055"/>
                  <dgm:constr type="h" for="ch" forName="picture6" refType="h" fact="0.1403"/>
                  <dgm:constr type="r" for="ch" forName="desTx6" refType="l" refFor="ch" refForName="parTx6"/>
                  <dgm:constr type="l" for="ch" forName="desTx6"/>
                  <dgm:constr type="t" for="ch" forName="desTx6" refType="t" refFor="ch" refForName="parTx6"/>
                  <dgm:constr type="h" for="ch" forName="desTx6" refType="h" refFor="ch" refForName="parTx6"/>
                </dgm:constrLst>
              </dgm:if>
              <dgm:else name="Name61">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5724"/>
                  <dgm:constr type="ctrY" for="ch" forName="dot1" refType="h" fact="0.8839"/>
                  <dgm:constr type="w" for="ch" forName="dot1" refType="userD"/>
                  <dgm:constr type="h" for="ch" forName="dot1" refType="userD"/>
                  <dgm:constr type="ctrX" for="ch" forName="dot2" refType="w" fact="0.599"/>
                  <dgm:constr type="ctrY" for="ch" forName="dot2" refType="h" fact="0.8967"/>
                  <dgm:constr type="w" for="ch" forName="dot2" refType="userD"/>
                  <dgm:constr type="h" for="ch" forName="dot2" refType="userD"/>
                  <dgm:constr type="ctrX" for="ch" forName="dot3" refType="w" fact="0.6261"/>
                  <dgm:constr type="ctrY" for="ch" forName="dot3" refType="h" fact="0.9076"/>
                  <dgm:constr type="w" for="ch" forName="dot3" refType="userD"/>
                  <dgm:constr type="h" for="ch" forName="dot3" refType="userD"/>
                  <dgm:constr type="ctrX" for="ch" forName="dot4" refType="w" fact="0.6536"/>
                  <dgm:constr type="ctrY" for="ch" forName="dot4" refType="h" fact="0.9165"/>
                  <dgm:constr type="w" for="ch" forName="dot4" refType="userD"/>
                  <dgm:constr type="h" for="ch" forName="dot4" refType="userD"/>
                  <dgm:constr type="ctrX" for="ch" forName="dot5" refType="w" fact="0.6814"/>
                  <dgm:constr type="ctrY" for="ch" forName="dot5" refType="h" fact="0.9234"/>
                  <dgm:constr type="w" for="ch" forName="dot5" refType="userD"/>
                  <dgm:constr type="h" for="ch" forName="dot5" refType="userD"/>
                  <dgm:constr type="ctrX" for="ch" forName="dot6" refType="w" fact="0.4214"/>
                  <dgm:constr type="ctrY" for="ch" forName="dot6" refType="h" fact="0.764"/>
                  <dgm:constr type="w" for="ch" forName="dot6" refType="userD"/>
                  <dgm:constr type="h" for="ch" forName="dot6" refType="userD"/>
                  <dgm:constr type="ctrX" for="ch" forName="dot7" refType="w" fact="0.4436"/>
                  <dgm:constr type="ctrY" for="ch" forName="dot7" refType="h" fact="0.7878"/>
                  <dgm:constr type="w" for="ch" forName="dot7" refType="userD"/>
                  <dgm:constr type="h" for="ch" forName="dot7" refType="userD"/>
                  <dgm:constr type="ctrX" for="ch" forName="dot8" refType="w" fact="0.325"/>
                  <dgm:constr type="ctrY" for="ch" forName="dot8" refType="h" fact="0.6227"/>
                  <dgm:constr type="w" for="ch" forName="dot8" refType="userD"/>
                  <dgm:constr type="h" for="ch" forName="dot8" refType="userD"/>
                  <dgm:constr type="ctrX" for="ch" forName="dot9" refType="w" fact="0.2597"/>
                  <dgm:constr type="ctrY" for="ch" forName="dot9" refType="h" fact="0.4556"/>
                  <dgm:constr type="w" for="ch" forName="dot9" refType="userD"/>
                  <dgm:constr type="h" for="ch" forName="dot9" refType="userD"/>
                  <dgm:constr type="ctrX" for="ch" forName="dot10" refType="w" fact="0.2286"/>
                  <dgm:constr type="ctrY" for="ch" forName="dot10" refType="h" fact="0.2816"/>
                  <dgm:constr type="w" for="ch" forName="dot10" refType="userD"/>
                  <dgm:constr type="h" for="ch" forName="dot10" refType="userD"/>
                  <dgm:constr type="ctrX" for="ch" forName="dotArrow1" refType="w" fact="0.2557"/>
                  <dgm:constr type="ctrY" for="ch" forName="dotArrow1" refType="h" fact="0.0748"/>
                  <dgm:constr type="w" for="ch" forName="dotArrow1" refType="userD"/>
                  <dgm:constr type="h" for="ch" forName="dotArrow1" refType="userD"/>
                  <dgm:constr type="ctrX" for="ch" forName="dotArrow2" refType="w" fact="0.2372"/>
                  <dgm:constr type="ctrY" for="ch" forName="dotArrow2" refType="h" fact="0.0581"/>
                  <dgm:constr type="w" for="ch" forName="dotArrow2" refType="userD"/>
                  <dgm:constr type="h" for="ch" forName="dotArrow2" refType="userD"/>
                  <dgm:constr type="ctrX" for="ch" forName="dotArrow3" refType="w" fact="0.2187"/>
                  <dgm:constr type="ctrY" for="ch" forName="dotArrow3" refType="h" fact="0.0414"/>
                  <dgm:constr type="w" for="ch" forName="dotArrow3" refType="userD"/>
                  <dgm:constr type="h" for="ch" forName="dotArrow3" refType="userD"/>
                  <dgm:constr type="ctrX" for="ch" forName="dotArrow4" refType="w" fact="0.2001"/>
                  <dgm:constr type="ctrY" for="ch" forName="dotArrow4" refType="h" fact="0.0581"/>
                  <dgm:constr type="w" for="ch" forName="dotArrow4" refType="userD"/>
                  <dgm:constr type="h" for="ch" forName="dotArrow4" refType="userD"/>
                  <dgm:constr type="ctrX" for="ch" forName="dotArrow5" refType="w" fact="0.1816"/>
                  <dgm:constr type="ctrY" for="ch" forName="dotArrow5" refType="h" fact="0.0748"/>
                  <dgm:constr type="w" for="ch" forName="dotArrow5" refType="userD"/>
                  <dgm:constr type="h" for="ch" forName="dotArrow5" refType="userD"/>
                  <dgm:constr type="ctrX" for="ch" forName="dotArrow6" refType="w" fact="0.2187"/>
                  <dgm:constr type="ctrY" for="ch" forName="dotArrow6" refType="h" fact="0.0766"/>
                  <dgm:constr type="w" for="ch" forName="dotArrow6" refType="userD"/>
                  <dgm:constr type="h" for="ch" forName="dotArrow6" refType="userD"/>
                  <dgm:constr type="ctrX" for="ch" forName="dotArrow7" refType="w" fact="0.2187"/>
                  <dgm:constr type="ctrY" for="ch" forName="dotArrow7" refType="h" fact="0.1118"/>
                  <dgm:constr type="w" for="ch" forName="dotArrow7" refType="userD"/>
                  <dgm:constr type="h" for="ch" forName="dotArrow7" refType="userD"/>
                  <dgm:constr type="r" for="ch" forName="parTx1" refType="w" fact="0.7522"/>
                  <dgm:constr type="t" for="ch" forName="parTx1" refType="h" fact="0.9416"/>
                  <dgm:constr type="w" for="ch" forName="parTx1" refType="w" fact="0.2696"/>
                  <dgm:constr type="h" for="ch" forName="parTx1" refType="h" fact="0.0811"/>
                  <dgm:constr type="ctrX" for="ch" forName="picture1" refType="w" fact="0.7644"/>
                  <dgm:constr type="ctrY" for="ch" forName="picture1" refType="h" fact="0.9322"/>
                  <dgm:constr type="w" for="ch" forName="picture1" refType="w" fact="0.125"/>
                  <dgm:constr type="h" for="ch" forName="picture1" refType="h" fact="0.1403"/>
                  <dgm:constr type="r" for="ch" forName="parTx2" refType="w" fact="0.4937"/>
                  <dgm:constr type="t" for="ch" forName="parTx2" refType="h" fact="0.8451"/>
                  <dgm:constr type="w" for="ch" forName="parTx2" refType="w" fact="0.2696"/>
                  <dgm:constr type="h" for="ch" forName="parTx2" refType="h" fact="0.0811"/>
                  <dgm:constr type="ctrX" for="ch" forName="picture2" refType="w" fact="0.5059"/>
                  <dgm:constr type="ctrY" for="ch" forName="picture2" refType="h" fact="0.8357"/>
                  <dgm:constr type="w" for="ch" forName="picture2" refType="w" fact="0.125"/>
                  <dgm:constr type="h" for="ch" forName="picture2" refType="h" fact="0.1403"/>
                  <dgm:constr type="r" for="ch" forName="parTx3" refType="w" fact="0.3662"/>
                  <dgm:constr type="t" for="ch" forName="parTx3" refType="h" fact="0.7006"/>
                  <dgm:constr type="w" for="ch" forName="parTx3" refType="w" fact="0.2696"/>
                  <dgm:constr type="h" for="ch" forName="parTx3" refType="h" fact="0.0811"/>
                  <dgm:constr type="ctrX" for="ch" forName="picture3" refType="w" fact="0.3784"/>
                  <dgm:constr type="ctrY" for="ch" forName="picture3" refType="h" fact="0.6912"/>
                  <dgm:constr type="w" for="ch" forName="picture3" refType="w" fact="0.125"/>
                  <dgm:constr type="h" for="ch" forName="picture3" refType="h" fact="0.1403"/>
                  <dgm:constr type="r" for="ch" forName="parTx4" refType="w" fact="0.2893"/>
                  <dgm:constr type="t" for="ch" forName="parTx4" refType="h" fact="0.5424"/>
                  <dgm:constr type="w" for="ch" forName="parTx4" refType="w" fact="0.2696"/>
                  <dgm:constr type="h" for="ch" forName="parTx4" refType="h" fact="0.0811"/>
                  <dgm:constr type="ctrX" for="ch" forName="picture4" refType="w" fact="0.3015"/>
                  <dgm:constr type="ctrY" for="ch" forName="picture4" refType="h" fact="0.533"/>
                  <dgm:constr type="w" for="ch" forName="picture4" refType="w" fact="0.125"/>
                  <dgm:constr type="h" for="ch" forName="picture4" refType="h" fact="0.1403"/>
                  <dgm:constr type="r" for="ch" forName="parTx5" refType="w" fact="0.2397"/>
                  <dgm:constr type="t" for="ch" forName="parTx5" refType="h" fact="0.372"/>
                  <dgm:constr type="w" for="ch" forName="parTx5" refType="w" fact="0.2696"/>
                  <dgm:constr type="h" for="ch" forName="parTx5" refType="h" fact="0.0811"/>
                  <dgm:constr type="ctrX" for="ch" forName="picture5" refType="w" fact="0.2519"/>
                  <dgm:constr type="ctrY" for="ch" forName="picture5" refType="h" fact="0.3626"/>
                  <dgm:constr type="w" for="ch" forName="picture5" refType="w" fact="0.125"/>
                  <dgm:constr type="h" for="ch" forName="picture5" refType="h" fact="0.1403"/>
                  <dgm:constr type="r" for="ch" forName="parTx6" refType="w" fact="0.2127"/>
                  <dgm:constr type="t" for="ch" forName="parTx6" refType="h" fact="0.2044"/>
                  <dgm:constr type="w" for="ch" forName="parTx6" refType="w" fact="0.2696"/>
                  <dgm:constr type="h" for="ch" forName="parTx6" refType="h" fact="0.0811"/>
                  <dgm:constr type="ctrX" for="ch" forName="picture6" refType="w" fact="0.2249"/>
                  <dgm:constr type="ctrY" for="ch" forName="picture6" refType="h" fact="0.195"/>
                  <dgm:constr type="w" for="ch" forName="picture6" refType="w" fact="0.125"/>
                  <dgm:constr type="h" for="ch" forName="picture6" refType="h" fact="0.1403"/>
                </dgm:constrLst>
              </dgm:else>
            </dgm:choose>
          </dgm:else>
        </dgm:choose>
      </dgm:if>
      <dgm:else name="Name62">
        <dgm:choose name="Name63">
          <dgm:if name="Name64" func="var" arg="dir" op="equ" val="norm">
            <dgm:choose name="Name65">
              <dgm:if name="Name66"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3909"/>
                  <dgm:constr type="ctrY" for="ch" forName="dot1" refType="h" fact="0.8342"/>
                  <dgm:constr type="w" for="ch" forName="dot1" refType="userD"/>
                  <dgm:constr type="h" for="ch" forName="dot1" refType="userD"/>
                  <dgm:constr type="ctrX" for="ch" forName="dot2" refType="w" fact="0.3721"/>
                  <dgm:constr type="ctrY" for="ch" forName="dot2" refType="h" fact="0.8448"/>
                  <dgm:constr type="w" for="ch" forName="dot2" refType="userD"/>
                  <dgm:constr type="h" for="ch" forName="dot2" refType="userD"/>
                  <dgm:constr type="ctrX" for="ch" forName="dot3" refType="w" fact="0.353"/>
                  <dgm:constr type="ctrY" for="ch" forName="dot3" refType="h" fact="0.8539"/>
                  <dgm:constr type="w" for="ch" forName="dot3" refType="userD"/>
                  <dgm:constr type="h" for="ch" forName="dot3" refType="userD"/>
                  <dgm:constr type="ctrX" for="ch" forName="dot4" refType="w" fact="0.3337"/>
                  <dgm:constr type="ctrY" for="ch" forName="dot4" refType="h" fact="0.8615"/>
                  <dgm:constr type="w" for="ch" forName="dot4" refType="userD"/>
                  <dgm:constr type="h" for="ch" forName="dot4" refType="userD"/>
                  <dgm:constr type="ctrX" for="ch" forName="dot5" refType="w" fact="0.3142"/>
                  <dgm:constr type="ctrY" for="ch" forName="dot5" refType="h" fact="0.8676"/>
                  <dgm:constr type="w" for="ch" forName="dot5" refType="userD"/>
                  <dgm:constr type="h" for="ch" forName="dot5" refType="userD"/>
                  <dgm:constr type="ctrX" for="ch" forName="dot6" refType="w" fact="0.5088"/>
                  <dgm:constr type="ctrY" for="ch" forName="dot6" refType="h" fact="0.7255"/>
                  <dgm:constr type="w" for="ch" forName="dot6" refType="userD"/>
                  <dgm:constr type="h" for="ch" forName="dot6" refType="userD"/>
                  <dgm:constr type="ctrX" for="ch" forName="dot7" refType="w" fact="0.4926"/>
                  <dgm:constr type="ctrY" for="ch" forName="dot7" refType="h" fact="0.7454"/>
                  <dgm:constr type="w" for="ch" forName="dot7" refType="userD"/>
                  <dgm:constr type="h" for="ch" forName="dot7" refType="userD"/>
                  <dgm:constr type="ctrX" for="ch" forName="dot8" refType="w" fact="0.5836"/>
                  <dgm:constr type="ctrY" for="ch" forName="dot8" refType="h" fact="0.6026"/>
                  <dgm:constr type="w" for="ch" forName="dot8" refType="userD"/>
                  <dgm:constr type="h" for="ch" forName="dot8" refType="userD"/>
                  <dgm:constr type="ctrX" for="ch" forName="dot9" refType="w" fact="0.6371"/>
                  <dgm:constr type="ctrY" for="ch" forName="dot9" refType="h" fact="0.4632"/>
                  <dgm:constr type="w" for="ch" forName="dot9" refType="userD"/>
                  <dgm:constr type="h" for="ch" forName="dot9" refType="userD"/>
                  <dgm:constr type="ctrX" for="ch" forName="dot10" refType="w" fact="0.6701"/>
                  <dgm:constr type="ctrY" for="ch" forName="dot10" refType="h" fact="0.3187"/>
                  <dgm:constr type="w" for="ch" forName="dot10" refType="userD"/>
                  <dgm:constr type="h" for="ch" forName="dot10" refType="userD"/>
                  <dgm:constr type="ctrX" for="ch" forName="dot11" refType="w" fact="0.6853"/>
                  <dgm:constr type="ctrY" for="ch" forName="dot11" refType="h" fact="0.1763"/>
                  <dgm:constr type="w" for="ch" forName="dot11" refType="userD"/>
                  <dgm:constr type="h" for="ch" forName="dot11" refType="userD"/>
                  <dgm:constr type="ctrX" for="ch" forName="dotArrow1" refType="w" fact="0.6627"/>
                  <dgm:constr type="ctrY" for="ch" forName="dotArrow1" refType="h" fact="-0.0099"/>
                  <dgm:constr type="w" for="ch" forName="dotArrow1" refType="userD"/>
                  <dgm:constr type="h" for="ch" forName="dotArrow1" refType="userD"/>
                  <dgm:constr type="ctrX" for="ch" forName="dotArrow2" refType="w" fact="0.6773"/>
                  <dgm:constr type="ctrY" for="ch" forName="dotArrow2" refType="h" fact="-0.0239"/>
                  <dgm:constr type="w" for="ch" forName="dotArrow2" refType="userD"/>
                  <dgm:constr type="h" for="ch" forName="dotArrow2" refType="userD"/>
                  <dgm:constr type="ctrX" for="ch" forName="dotArrow3" refType="w" fact="0.6919"/>
                  <dgm:constr type="ctrY" for="ch" forName="dotArrow3" refType="h" fact="-0.0378"/>
                  <dgm:constr type="w" for="ch" forName="dotArrow3" refType="userD"/>
                  <dgm:constr type="h" for="ch" forName="dotArrow3" refType="userD"/>
                  <dgm:constr type="ctrX" for="ch" forName="dotArrow4" refType="w" fact="0.7065"/>
                  <dgm:constr type="ctrY" for="ch" forName="dotArrow4" refType="h" fact="-0.0239"/>
                  <dgm:constr type="w" for="ch" forName="dotArrow4" refType="userD"/>
                  <dgm:constr type="h" for="ch" forName="dotArrow4" refType="userD"/>
                  <dgm:constr type="ctrX" for="ch" forName="dotArrow5" refType="w" fact="0.7212"/>
                  <dgm:constr type="ctrY" for="ch" forName="dotArrow5" refType="h" fact="-0.0099"/>
                  <dgm:constr type="w" for="ch" forName="dotArrow5" refType="userD"/>
                  <dgm:constr type="h" for="ch" forName="dotArrow5" refType="userD"/>
                  <dgm:constr type="ctrX" for="ch" forName="dotArrow6" refType="w" fact="0.6919"/>
                  <dgm:constr type="ctrY" for="ch" forName="dotArrow6" refType="h" fact="-0.0084"/>
                  <dgm:constr type="w" for="ch" forName="dotArrow6" refType="userD"/>
                  <dgm:constr type="h" for="ch" forName="dotArrow6" refType="userD"/>
                  <dgm:constr type="ctrX" for="ch" forName="dotArrow7" refType="w" fact="0.6919"/>
                  <dgm:constr type="ctrY" for="ch" forName="dotArrow7" refType="h" fact="0.0211"/>
                  <dgm:constr type="w" for="ch" forName="dotArrow7" refType="userD"/>
                  <dgm:constr type="h" for="ch" forName="dotArrow7" refType="userD"/>
                  <dgm:constr type="l" for="ch" forName="parTx1" refType="w" fact="0.2556"/>
                  <dgm:constr type="t" for="ch" forName="parTx1" refType="h" fact="0.8856"/>
                  <dgm:constr type="w" for="ch" forName="parTx1" refType="w" fact="0.2101"/>
                  <dgm:constr type="h" for="ch" forName="parTx1" refType="h" fact="0.0704"/>
                  <dgm:constr type="ctrX" for="ch" forName="picture1" refType="w" fact="0.246"/>
                  <dgm:constr type="ctrY" for="ch" forName="picture1" refType="h" fact="0.8769"/>
                  <dgm:constr type="w" for="ch" forName="picture1" refType="w" fact="0.0974"/>
                  <dgm:constr type="h" for="ch" forName="picture1" refType="h" fact="0.121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535"/>
                  <dgm:constr type="t" for="ch" forName="parTx2" refType="h" fact="0.7956"/>
                  <dgm:constr type="w" for="ch" forName="parTx2" refType="w" fact="0.2101"/>
                  <dgm:constr type="h" for="ch" forName="parTx2" refType="h" fact="0.0704"/>
                  <dgm:constr type="ctrX" for="ch" forName="picture2" refType="w" fact="0.4439"/>
                  <dgm:constr type="ctrY" for="ch" forName="picture2" refType="h" fact="0.787"/>
                  <dgm:constr type="w" for="ch" forName="picture2" refType="w" fact="0.0974"/>
                  <dgm:constr type="h" for="ch" forName="picture2" refType="h" fact="0.1218"/>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511"/>
                  <dgm:constr type="t" for="ch" forName="parTx3" refType="h" fact="0.673"/>
                  <dgm:constr type="w" for="ch" forName="parTx3" refType="w" fact="0.2101"/>
                  <dgm:constr type="h" for="ch" forName="parTx3" refType="h" fact="0.0704"/>
                  <dgm:constr type="ctrX" for="ch" forName="picture3" refType="w" fact="0.5415"/>
                  <dgm:constr type="ctrY" for="ch" forName="picture3" refType="h" fact="0.6644"/>
                  <dgm:constr type="w" for="ch" forName="picture3" refType="w" fact="0.0974"/>
                  <dgm:constr type="h" for="ch" forName="picture3" refType="h" fact="0.1218"/>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6132"/>
                  <dgm:constr type="t" for="ch" forName="parTx4" refType="h" fact="0.538"/>
                  <dgm:constr type="w" for="ch" forName="parTx4" refType="w" fact="0.2101"/>
                  <dgm:constr type="h" for="ch" forName="parTx4" refType="h" fact="0.0704"/>
                  <dgm:constr type="ctrX" for="ch" forName="picture4" refType="w" fact="0.6037"/>
                  <dgm:constr type="ctrY" for="ch" forName="picture4" refType="h" fact="0.5294"/>
                  <dgm:constr type="w" for="ch" forName="picture4" refType="w" fact="0.0974"/>
                  <dgm:constr type="h" for="ch" forName="picture4" refType="h" fact="0.1218"/>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576"/>
                  <dgm:constr type="t" for="ch" forName="parTx5" refType="h" fact="0.3951"/>
                  <dgm:constr type="w" for="ch" forName="parTx5" refType="w" fact="0.2101"/>
                  <dgm:constr type="h" for="ch" forName="parTx5" refType="h" fact="0.0704"/>
                  <dgm:constr type="ctrX" for="ch" forName="picture5" refType="w" fact="0.648"/>
                  <dgm:constr type="ctrY" for="ch" forName="picture5" refType="h" fact="0.3864"/>
                  <dgm:constr type="w" for="ch" forName="picture5" refType="w" fact="0.0974"/>
                  <dgm:constr type="h" for="ch" forName="picture5" refType="h" fact="0.1218"/>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828"/>
                  <dgm:constr type="t" for="ch" forName="parTx6" refType="h" fact="0.2531"/>
                  <dgm:constr type="w" for="ch" forName="parTx6" refType="w" fact="0.2101"/>
                  <dgm:constr type="h" for="ch" forName="parTx6" refType="h" fact="0.0704"/>
                  <dgm:constr type="ctrX" for="ch" forName="picture6" refType="w" fact="0.6733"/>
                  <dgm:constr type="ctrY" for="ch" forName="picture6" refType="h" fact="0.2444"/>
                  <dgm:constr type="w" for="ch" forName="picture6" refType="w" fact="0.0974"/>
                  <dgm:constr type="h" for="ch" forName="picture6" refType="h" fact="0.1218"/>
                  <dgm:constr type="l" for="ch" forName="desTx6" refType="r" refFor="ch" refForName="parTx6"/>
                  <dgm:constr type="r" for="ch" forName="desTx6" refType="w"/>
                  <dgm:constr type="t" for="ch" forName="desTx6" refType="t" refFor="ch" refForName="parTx6"/>
                  <dgm:constr type="h" for="ch" forName="desTx6" refType="h" refFor="ch" refForName="parTx6"/>
                  <dgm:constr type="l" for="ch" forName="parTx7" refType="w" fact="0.6966"/>
                  <dgm:constr type="t" for="ch" forName="parTx7" refType="h" fact="0.1162"/>
                  <dgm:constr type="w" for="ch" forName="parTx7" refType="w" fact="0.2101"/>
                  <dgm:constr type="h" for="ch" forName="parTx7" refType="h" fact="0.0704"/>
                  <dgm:constr type="ctrX" for="ch" forName="picture7" refType="w" fact="0.6871"/>
                  <dgm:constr type="ctrY" for="ch" forName="picture7" refType="h" fact="0.1075"/>
                  <dgm:constr type="w" for="ch" forName="picture7" refType="w" fact="0.0974"/>
                  <dgm:constr type="h" for="ch" forName="picture7" refType="h" fact="0.1218"/>
                  <dgm:constr type="l" for="ch" forName="desTx7" refType="r" refFor="ch" refForName="parTx7"/>
                  <dgm:constr type="r" for="ch" forName="desTx7" refType="w"/>
                  <dgm:constr type="t" for="ch" forName="desTx7" refType="t" refFor="ch" refForName="parTx7"/>
                  <dgm:constr type="h" for="ch" forName="desTx7" refType="h" refFor="ch" refForName="parTx7"/>
                </dgm:constrLst>
              </dgm:if>
              <dgm:else name="Name67">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4459"/>
                  <dgm:constr type="ctrY" for="ch" forName="dot1" refType="h" fact="0.8342"/>
                  <dgm:constr type="w" for="ch" forName="dot1" refType="userD"/>
                  <dgm:constr type="h" for="ch" forName="dot1" refType="userD"/>
                  <dgm:constr type="ctrX" for="ch" forName="dot2" refType="w" fact="0.4244"/>
                  <dgm:constr type="ctrY" for="ch" forName="dot2" refType="h" fact="0.8448"/>
                  <dgm:constr type="w" for="ch" forName="dot2" refType="userD"/>
                  <dgm:constr type="h" for="ch" forName="dot2" refType="userD"/>
                  <dgm:constr type="ctrX" for="ch" forName="dot3" refType="w" fact="0.4026"/>
                  <dgm:constr type="ctrY" for="ch" forName="dot3" refType="h" fact="0.8539"/>
                  <dgm:constr type="w" for="ch" forName="dot3" refType="userD"/>
                  <dgm:constr type="h" for="ch" forName="dot3" refType="userD"/>
                  <dgm:constr type="ctrX" for="ch" forName="dot4" refType="w" fact="0.3806"/>
                  <dgm:constr type="ctrY" for="ch" forName="dot4" refType="h" fact="0.8615"/>
                  <dgm:constr type="w" for="ch" forName="dot4" refType="userD"/>
                  <dgm:constr type="h" for="ch" forName="dot4" refType="userD"/>
                  <dgm:constr type="ctrX" for="ch" forName="dot5" refType="w" fact="0.3584"/>
                  <dgm:constr type="ctrY" for="ch" forName="dot5" refType="h" fact="0.8676"/>
                  <dgm:constr type="w" for="ch" forName="dot5" refType="userD"/>
                  <dgm:constr type="h" for="ch" forName="dot5" refType="userD"/>
                  <dgm:constr type="ctrX" for="ch" forName="dot6" refType="w" fact="0.5803"/>
                  <dgm:constr type="ctrY" for="ch" forName="dot6" refType="h" fact="0.7255"/>
                  <dgm:constr type="w" for="ch" forName="dot6" refType="userD"/>
                  <dgm:constr type="h" for="ch" forName="dot6" refType="userD"/>
                  <dgm:constr type="ctrX" for="ch" forName="dot7" refType="w" fact="0.5618"/>
                  <dgm:constr type="ctrY" for="ch" forName="dot7" refType="h" fact="0.7454"/>
                  <dgm:constr type="w" for="ch" forName="dot7" refType="userD"/>
                  <dgm:constr type="h" for="ch" forName="dot7" refType="userD"/>
                  <dgm:constr type="ctrX" for="ch" forName="dot8" refType="w" fact="0.6656"/>
                  <dgm:constr type="ctrY" for="ch" forName="dot8" refType="h" fact="0.6026"/>
                  <dgm:constr type="w" for="ch" forName="dot8" refType="userD"/>
                  <dgm:constr type="h" for="ch" forName="dot8" refType="userD"/>
                  <dgm:constr type="ctrX" for="ch" forName="dot9" refType="w" fact="0.7266"/>
                  <dgm:constr type="ctrY" for="ch" forName="dot9" refType="h" fact="0.4632"/>
                  <dgm:constr type="w" for="ch" forName="dot9" refType="userD"/>
                  <dgm:constr type="h" for="ch" forName="dot9" refType="userD"/>
                  <dgm:constr type="ctrX" for="ch" forName="dot10" refType="w" fact="0.7643"/>
                  <dgm:constr type="ctrY" for="ch" forName="dot10" refType="h" fact="0.3187"/>
                  <dgm:constr type="w" for="ch" forName="dot10" refType="userD"/>
                  <dgm:constr type="h" for="ch" forName="dot10" refType="userD"/>
                  <dgm:constr type="ctrX" for="ch" forName="dot11" refType="w" fact="0.7816"/>
                  <dgm:constr type="ctrY" for="ch" forName="dot11" refType="h" fact="0.1763"/>
                  <dgm:constr type="w" for="ch" forName="dot11" refType="userD"/>
                  <dgm:constr type="h" for="ch" forName="dot11" refType="userD"/>
                  <dgm:constr type="ctrX" for="ch" forName="dotArrow1" refType="w" fact="0.7558"/>
                  <dgm:constr type="ctrY" for="ch" forName="dotArrow1" refType="h" fact="-0.0099"/>
                  <dgm:constr type="w" for="ch" forName="dotArrow1" refType="userD"/>
                  <dgm:constr type="h" for="ch" forName="dotArrow1" refType="userD"/>
                  <dgm:constr type="ctrX" for="ch" forName="dotArrow2" refType="w" fact="0.7725"/>
                  <dgm:constr type="ctrY" for="ch" forName="dotArrow2" refType="h" fact="-0.0239"/>
                  <dgm:constr type="w" for="ch" forName="dotArrow2" refType="userD"/>
                  <dgm:constr type="h" for="ch" forName="dotArrow2" refType="userD"/>
                  <dgm:constr type="ctrX" for="ch" forName="dotArrow3" refType="w" fact="0.7892"/>
                  <dgm:constr type="ctrY" for="ch" forName="dotArrow3" refType="h" fact="-0.0378"/>
                  <dgm:constr type="w" for="ch" forName="dotArrow3" refType="userD"/>
                  <dgm:constr type="h" for="ch" forName="dotArrow3" refType="userD"/>
                  <dgm:constr type="ctrX" for="ch" forName="dotArrow4" refType="w" fact="0.8058"/>
                  <dgm:constr type="ctrY" for="ch" forName="dotArrow4" refType="h" fact="-0.0239"/>
                  <dgm:constr type="w" for="ch" forName="dotArrow4" refType="userD"/>
                  <dgm:constr type="h" for="ch" forName="dotArrow4" refType="userD"/>
                  <dgm:constr type="ctrX" for="ch" forName="dotArrow5" refType="w" fact="0.8225"/>
                  <dgm:constr type="ctrY" for="ch" forName="dotArrow5" refType="h" fact="-0.0099"/>
                  <dgm:constr type="w" for="ch" forName="dotArrow5" refType="userD"/>
                  <dgm:constr type="h" for="ch" forName="dotArrow5" refType="userD"/>
                  <dgm:constr type="ctrX" for="ch" forName="dotArrow6" refType="w" fact="0.7892"/>
                  <dgm:constr type="ctrY" for="ch" forName="dotArrow6" refType="h" fact="-0.0084"/>
                  <dgm:constr type="w" for="ch" forName="dotArrow6" refType="userD"/>
                  <dgm:constr type="h" for="ch" forName="dotArrow6" refType="userD"/>
                  <dgm:constr type="ctrX" for="ch" forName="dotArrow7" refType="w" fact="0.7892"/>
                  <dgm:constr type="ctrY" for="ch" forName="dotArrow7" refType="h" fact="0.0211"/>
                  <dgm:constr type="w" for="ch" forName="dotArrow7" refType="userD"/>
                  <dgm:constr type="h" for="ch" forName="dotArrow7" refType="userD"/>
                  <dgm:constr type="l" for="ch" forName="parTx1" refType="w" fact="0.2915"/>
                  <dgm:constr type="t" for="ch" forName="parTx1" refType="h" fact="0.8845"/>
                  <dgm:constr type="w" for="ch" forName="parTx1" refType="w" fact="0.2396"/>
                  <dgm:constr type="h" for="ch" forName="parTx1" refType="h" fact="0.0704"/>
                  <dgm:constr type="ctrX" for="ch" forName="picture1" refType="w" fact="0.2806"/>
                  <dgm:constr type="ctrY" for="ch" forName="picture1" refType="h" fact="0.8769"/>
                  <dgm:constr type="w" for="ch" forName="picture1" refType="w" fact="0.1111"/>
                  <dgm:constr type="h" for="ch" forName="picture1" refType="h" fact="0.1218"/>
                  <dgm:constr type="l" for="ch" forName="parTx2" refType="w" fact="0.5172"/>
                  <dgm:constr type="t" for="ch" forName="parTx2" refType="h" fact="0.7946"/>
                  <dgm:constr type="w" for="ch" forName="parTx2" refType="w" fact="0.2396"/>
                  <dgm:constr type="h" for="ch" forName="parTx2" refType="h" fact="0.0704"/>
                  <dgm:constr type="ctrX" for="ch" forName="picture2" refType="w" fact="0.5063"/>
                  <dgm:constr type="ctrY" for="ch" forName="picture2" refType="h" fact="0.787"/>
                  <dgm:constr type="w" for="ch" forName="picture2" refType="w" fact="0.1111"/>
                  <dgm:constr type="h" for="ch" forName="picture2" refType="h" fact="0.1218"/>
                  <dgm:constr type="l" for="ch" forName="parTx3" refType="w" fact="0.6285"/>
                  <dgm:constr type="t" for="ch" forName="parTx3" refType="h" fact="0.672"/>
                  <dgm:constr type="w" for="ch" forName="parTx3" refType="w" fact="0.2396"/>
                  <dgm:constr type="h" for="ch" forName="parTx3" refType="h" fact="0.0704"/>
                  <dgm:constr type="ctrX" for="ch" forName="picture3" refType="w" fact="0.6176"/>
                  <dgm:constr type="ctrY" for="ch" forName="picture3" refType="h" fact="0.6644"/>
                  <dgm:constr type="w" for="ch" forName="picture3" refType="w" fact="0.1111"/>
                  <dgm:constr type="h" for="ch" forName="picture3" refType="h" fact="0.1218"/>
                  <dgm:constr type="l" for="ch" forName="parTx4" refType="w" fact="0.6994"/>
                  <dgm:constr type="t" for="ch" forName="parTx4" refType="h" fact="0.5369"/>
                  <dgm:constr type="w" for="ch" forName="parTx4" refType="w" fact="0.2396"/>
                  <dgm:constr type="h" for="ch" forName="parTx4" refType="h" fact="0.0704"/>
                  <dgm:constr type="ctrX" for="ch" forName="picture4" refType="w" fact="0.6885"/>
                  <dgm:constr type="ctrY" for="ch" forName="picture4" refType="h" fact="0.5294"/>
                  <dgm:constr type="w" for="ch" forName="picture4" refType="w" fact="0.1111"/>
                  <dgm:constr type="h" for="ch" forName="picture4" refType="h" fact="0.1218"/>
                  <dgm:constr type="l" for="ch" forName="parTx5" refType="w" fact="0.75"/>
                  <dgm:constr type="t" for="ch" forName="parTx5" refType="h" fact="0.394"/>
                  <dgm:constr type="w" for="ch" forName="parTx5" refType="w" fact="0.2396"/>
                  <dgm:constr type="h" for="ch" forName="parTx5" refType="h" fact="0.0704"/>
                  <dgm:constr type="ctrX" for="ch" forName="picture5" refType="w" fact="0.7391"/>
                  <dgm:constr type="ctrY" for="ch" forName="picture5" refType="h" fact="0.3864"/>
                  <dgm:constr type="w" for="ch" forName="picture5" refType="w" fact="0.1111"/>
                  <dgm:constr type="h" for="ch" forName="picture5" refType="h" fact="0.1218"/>
                  <dgm:constr type="l" for="ch" forName="parTx6" refType="w" fact="0.7788"/>
                  <dgm:constr type="t" for="ch" forName="parTx6" refType="h" fact="0.252"/>
                  <dgm:constr type="w" for="ch" forName="parTx6" refType="w" fact="0.2396"/>
                  <dgm:constr type="h" for="ch" forName="parTx6" refType="h" fact="0.0704"/>
                  <dgm:constr type="ctrX" for="ch" forName="picture6" refType="w" fact="0.7679"/>
                  <dgm:constr type="ctrY" for="ch" forName="picture6" refType="h" fact="0.2444"/>
                  <dgm:constr type="w" for="ch" forName="picture6" refType="w" fact="0.1111"/>
                  <dgm:constr type="h" for="ch" forName="picture6" refType="h" fact="0.1218"/>
                  <dgm:constr type="l" for="ch" forName="parTx7" refType="w" fact="0.7945"/>
                  <dgm:constr type="t" for="ch" forName="parTx7" refType="h" fact="0.1151"/>
                  <dgm:constr type="w" for="ch" forName="parTx7" refType="w" fact="0.2396"/>
                  <dgm:constr type="h" for="ch" forName="parTx7" refType="h" fact="0.0704"/>
                  <dgm:constr type="ctrX" for="ch" forName="picture7" refType="w" fact="0.7836"/>
                  <dgm:constr type="ctrY" for="ch" forName="picture7" refType="h" fact="0.1075"/>
                  <dgm:constr type="w" for="ch" forName="picture7" refType="w" fact="0.1111"/>
                  <dgm:constr type="h" for="ch" forName="picture7" refType="h" fact="0.1218"/>
                </dgm:constrLst>
              </dgm:else>
            </dgm:choose>
          </dgm:if>
          <dgm:else name="Name68">
            <dgm:choose name="Name69">
              <dgm:if name="Name70"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6091"/>
                  <dgm:constr type="ctrY" for="ch" forName="dot1" refType="h" fact="0.8342"/>
                  <dgm:constr type="w" for="ch" forName="dot1" refType="userD"/>
                  <dgm:constr type="h" for="ch" forName="dot1" refType="userD"/>
                  <dgm:constr type="ctrX" for="ch" forName="dot2" refType="w" fact="0.6279"/>
                  <dgm:constr type="ctrY" for="ch" forName="dot2" refType="h" fact="0.8448"/>
                  <dgm:constr type="w" for="ch" forName="dot2" refType="userD"/>
                  <dgm:constr type="h" for="ch" forName="dot2" refType="userD"/>
                  <dgm:constr type="ctrX" for="ch" forName="dot3" refType="w" fact="0.647"/>
                  <dgm:constr type="ctrY" for="ch" forName="dot3" refType="h" fact="0.8539"/>
                  <dgm:constr type="w" for="ch" forName="dot3" refType="userD"/>
                  <dgm:constr type="h" for="ch" forName="dot3" refType="userD"/>
                  <dgm:constr type="ctrX" for="ch" forName="dot4" refType="w" fact="0.6663"/>
                  <dgm:constr type="ctrY" for="ch" forName="dot4" refType="h" fact="0.8615"/>
                  <dgm:constr type="w" for="ch" forName="dot4" refType="userD"/>
                  <dgm:constr type="h" for="ch" forName="dot4" refType="userD"/>
                  <dgm:constr type="ctrX" for="ch" forName="dot5" refType="w" fact="0.6858"/>
                  <dgm:constr type="ctrY" for="ch" forName="dot5" refType="h" fact="0.8676"/>
                  <dgm:constr type="w" for="ch" forName="dot5" refType="userD"/>
                  <dgm:constr type="h" for="ch" forName="dot5" refType="userD"/>
                  <dgm:constr type="ctrX" for="ch" forName="dot6" refType="w" fact="0.4912"/>
                  <dgm:constr type="ctrY" for="ch" forName="dot6" refType="h" fact="0.7255"/>
                  <dgm:constr type="w" for="ch" forName="dot6" refType="userD"/>
                  <dgm:constr type="h" for="ch" forName="dot6" refType="userD"/>
                  <dgm:constr type="ctrX" for="ch" forName="dot7" refType="w" fact="0.5074"/>
                  <dgm:constr type="ctrY" for="ch" forName="dot7" refType="h" fact="0.7454"/>
                  <dgm:constr type="w" for="ch" forName="dot7" refType="userD"/>
                  <dgm:constr type="h" for="ch" forName="dot7" refType="userD"/>
                  <dgm:constr type="ctrX" for="ch" forName="dot8" refType="w" fact="0.4164"/>
                  <dgm:constr type="ctrY" for="ch" forName="dot8" refType="h" fact="0.6026"/>
                  <dgm:constr type="w" for="ch" forName="dot8" refType="userD"/>
                  <dgm:constr type="h" for="ch" forName="dot8" refType="userD"/>
                  <dgm:constr type="ctrX" for="ch" forName="dot9" refType="w" fact="0.3629"/>
                  <dgm:constr type="ctrY" for="ch" forName="dot9" refType="h" fact="0.4632"/>
                  <dgm:constr type="w" for="ch" forName="dot9" refType="userD"/>
                  <dgm:constr type="h" for="ch" forName="dot9" refType="userD"/>
                  <dgm:constr type="ctrX" for="ch" forName="dot10" refType="w" fact="0.3299"/>
                  <dgm:constr type="ctrY" for="ch" forName="dot10" refType="h" fact="0.3187"/>
                  <dgm:constr type="w" for="ch" forName="dot10" refType="userD"/>
                  <dgm:constr type="h" for="ch" forName="dot10" refType="userD"/>
                  <dgm:constr type="ctrX" for="ch" forName="dot11" refType="w" fact="0.3147"/>
                  <dgm:constr type="ctrY" for="ch" forName="dot11" refType="h" fact="0.1763"/>
                  <dgm:constr type="w" for="ch" forName="dot11" refType="userD"/>
                  <dgm:constr type="h" for="ch" forName="dot11" refType="userD"/>
                  <dgm:constr type="ctrX" for="ch" forName="dotArrow1" refType="w" fact="0.3373"/>
                  <dgm:constr type="ctrY" for="ch" forName="dotArrow1" refType="h" fact="-0.0099"/>
                  <dgm:constr type="w" for="ch" forName="dotArrow1" refType="userD"/>
                  <dgm:constr type="h" for="ch" forName="dotArrow1" refType="userD"/>
                  <dgm:constr type="ctrX" for="ch" forName="dotArrow2" refType="w" fact="0.3227"/>
                  <dgm:constr type="ctrY" for="ch" forName="dotArrow2" refType="h" fact="-0.0239"/>
                  <dgm:constr type="w" for="ch" forName="dotArrow2" refType="userD"/>
                  <dgm:constr type="h" for="ch" forName="dotArrow2" refType="userD"/>
                  <dgm:constr type="ctrX" for="ch" forName="dotArrow3" refType="w" fact="0.3081"/>
                  <dgm:constr type="ctrY" for="ch" forName="dotArrow3" refType="h" fact="-0.0378"/>
                  <dgm:constr type="w" for="ch" forName="dotArrow3" refType="userD"/>
                  <dgm:constr type="h" for="ch" forName="dotArrow3" refType="userD"/>
                  <dgm:constr type="ctrX" for="ch" forName="dotArrow4" refType="w" fact="0.2935"/>
                  <dgm:constr type="ctrY" for="ch" forName="dotArrow4" refType="h" fact="-0.0239"/>
                  <dgm:constr type="w" for="ch" forName="dotArrow4" refType="userD"/>
                  <dgm:constr type="h" for="ch" forName="dotArrow4" refType="userD"/>
                  <dgm:constr type="ctrX" for="ch" forName="dotArrow5" refType="w" fact="0.2788"/>
                  <dgm:constr type="ctrY" for="ch" forName="dotArrow5" refType="h" fact="-0.0099"/>
                  <dgm:constr type="w" for="ch" forName="dotArrow5" refType="userD"/>
                  <dgm:constr type="h" for="ch" forName="dotArrow5" refType="userD"/>
                  <dgm:constr type="ctrX" for="ch" forName="dotArrow6" refType="w" fact="0.3081"/>
                  <dgm:constr type="ctrY" for="ch" forName="dotArrow6" refType="h" fact="-0.0084"/>
                  <dgm:constr type="w" for="ch" forName="dotArrow6" refType="userD"/>
                  <dgm:constr type="h" for="ch" forName="dotArrow6" refType="userD"/>
                  <dgm:constr type="ctrX" for="ch" forName="dotArrow7" refType="w" fact="0.3081"/>
                  <dgm:constr type="ctrY" for="ch" forName="dotArrow7" refType="h" fact="0.0211"/>
                  <dgm:constr type="w" for="ch" forName="dotArrow7" refType="userD"/>
                  <dgm:constr type="h" for="ch" forName="dotArrow7" refType="userD"/>
                  <dgm:constr type="r" for="ch" forName="parTx1" refType="w" fact="0.7444"/>
                  <dgm:constr type="t" for="ch" forName="parTx1" refType="h" fact="0.8856"/>
                  <dgm:constr type="w" for="ch" forName="parTx1" refType="w" fact="0.2101"/>
                  <dgm:constr type="h" for="ch" forName="parTx1" refType="h" fact="0.0704"/>
                  <dgm:constr type="ctrX" for="ch" forName="picture1" refType="w" fact="0.754"/>
                  <dgm:constr type="ctrY" for="ch" forName="picture1" refType="h" fact="0.8769"/>
                  <dgm:constr type="w" for="ch" forName="picture1" refType="w" fact="0.0974"/>
                  <dgm:constr type="h" for="ch" forName="picture1" refType="h" fact="0.121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465"/>
                  <dgm:constr type="t" for="ch" forName="parTx2" refType="h" fact="0.7956"/>
                  <dgm:constr type="w" for="ch" forName="parTx2" refType="w" fact="0.2101"/>
                  <dgm:constr type="h" for="ch" forName="parTx2" refType="h" fact="0.0704"/>
                  <dgm:constr type="ctrX" for="ch" forName="picture2" refType="w" fact="0.5561"/>
                  <dgm:constr type="ctrY" for="ch" forName="picture2" refType="h" fact="0.787"/>
                  <dgm:constr type="w" for="ch" forName="picture2" refType="w" fact="0.0974"/>
                  <dgm:constr type="h" for="ch" forName="picture2" refType="h" fact="0.1218"/>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489"/>
                  <dgm:constr type="t" for="ch" forName="parTx3" refType="h" fact="0.673"/>
                  <dgm:constr type="w" for="ch" forName="parTx3" refType="w" fact="0.2101"/>
                  <dgm:constr type="h" for="ch" forName="parTx3" refType="h" fact="0.0704"/>
                  <dgm:constr type="ctrX" for="ch" forName="picture3" refType="w" fact="0.4585"/>
                  <dgm:constr type="ctrY" for="ch" forName="picture3" refType="h" fact="0.6644"/>
                  <dgm:constr type="w" for="ch" forName="picture3" refType="w" fact="0.0974"/>
                  <dgm:constr type="h" for="ch" forName="picture3" refType="h" fact="0.1218"/>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3868"/>
                  <dgm:constr type="t" for="ch" forName="parTx4" refType="h" fact="0.538"/>
                  <dgm:constr type="w" for="ch" forName="parTx4" refType="w" fact="0.2101"/>
                  <dgm:constr type="h" for="ch" forName="parTx4" refType="h" fact="0.0704"/>
                  <dgm:constr type="ctrX" for="ch" forName="picture4" refType="w" fact="0.3963"/>
                  <dgm:constr type="ctrY" for="ch" forName="picture4" refType="h" fact="0.5294"/>
                  <dgm:constr type="w" for="ch" forName="picture4" refType="w" fact="0.0974"/>
                  <dgm:constr type="h" for="ch" forName="picture4" refType="h" fact="0.1218"/>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424"/>
                  <dgm:constr type="t" for="ch" forName="parTx5" refType="h" fact="0.3951"/>
                  <dgm:constr type="w" for="ch" forName="parTx5" refType="w" fact="0.2101"/>
                  <dgm:constr type="h" for="ch" forName="parTx5" refType="h" fact="0.0704"/>
                  <dgm:constr type="ctrX" for="ch" forName="picture5" refType="w" fact="0.352"/>
                  <dgm:constr type="ctrY" for="ch" forName="picture5" refType="h" fact="0.3864"/>
                  <dgm:constr type="w" for="ch" forName="picture5" refType="w" fact="0.0974"/>
                  <dgm:constr type="h" for="ch" forName="picture5" refType="h" fact="0.1218"/>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172"/>
                  <dgm:constr type="t" for="ch" forName="parTx6" refType="h" fact="0.2531"/>
                  <dgm:constr type="w" for="ch" forName="parTx6" refType="w" fact="0.2101"/>
                  <dgm:constr type="h" for="ch" forName="parTx6" refType="h" fact="0.0704"/>
                  <dgm:constr type="ctrX" for="ch" forName="picture6" refType="w" fact="0.3267"/>
                  <dgm:constr type="ctrY" for="ch" forName="picture6" refType="h" fact="0.2444"/>
                  <dgm:constr type="w" for="ch" forName="picture6" refType="w" fact="0.0974"/>
                  <dgm:constr type="h" for="ch" forName="picture6" refType="h" fact="0.1218"/>
                  <dgm:constr type="r" for="ch" forName="desTx6" refType="l" refFor="ch" refForName="parTx6"/>
                  <dgm:constr type="l" for="ch" forName="desTx6"/>
                  <dgm:constr type="t" for="ch" forName="desTx6" refType="t" refFor="ch" refForName="parTx6"/>
                  <dgm:constr type="h" for="ch" forName="desTx6" refType="h" refFor="ch" refForName="parTx6"/>
                  <dgm:constr type="r" for="ch" forName="parTx7" refType="w" fact="0.3034"/>
                  <dgm:constr type="t" for="ch" forName="parTx7" refType="h" fact="0.1162"/>
                  <dgm:constr type="w" for="ch" forName="parTx7" refType="w" fact="0.2101"/>
                  <dgm:constr type="h" for="ch" forName="parTx7" refType="h" fact="0.0704"/>
                  <dgm:constr type="ctrX" for="ch" forName="picture7" refType="w" fact="0.3129"/>
                  <dgm:constr type="ctrY" for="ch" forName="picture7" refType="h" fact="0.1075"/>
                  <dgm:constr type="w" for="ch" forName="picture7" refType="w" fact="0.0974"/>
                  <dgm:constr type="h" for="ch" forName="picture7" refType="h" fact="0.1218"/>
                  <dgm:constr type="r" for="ch" forName="desTx7" refType="l" refFor="ch" refForName="parTx7"/>
                  <dgm:constr type="l" for="ch" forName="desTx7"/>
                  <dgm:constr type="t" for="ch" forName="desTx7" refType="t" refFor="ch" refForName="parTx7"/>
                  <dgm:constr type="h" for="ch" forName="desTx7" refType="h" refFor="ch" refForName="parTx7"/>
                </dgm:constrLst>
              </dgm:if>
              <dgm:else name="Name71">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5541"/>
                  <dgm:constr type="ctrY" for="ch" forName="dot1" refType="h" fact="0.8342"/>
                  <dgm:constr type="w" for="ch" forName="dot1" refType="userD"/>
                  <dgm:constr type="h" for="ch" forName="dot1" refType="userD"/>
                  <dgm:constr type="ctrX" for="ch" forName="dot2" refType="w" fact="0.5756"/>
                  <dgm:constr type="ctrY" for="ch" forName="dot2" refType="h" fact="0.8448"/>
                  <dgm:constr type="w" for="ch" forName="dot2" refType="userD"/>
                  <dgm:constr type="h" for="ch" forName="dot2" refType="userD"/>
                  <dgm:constr type="ctrX" for="ch" forName="dot3" refType="w" fact="0.5974"/>
                  <dgm:constr type="ctrY" for="ch" forName="dot3" refType="h" fact="0.8539"/>
                  <dgm:constr type="w" for="ch" forName="dot3" refType="userD"/>
                  <dgm:constr type="h" for="ch" forName="dot3" refType="userD"/>
                  <dgm:constr type="ctrX" for="ch" forName="dot4" refType="w" fact="0.6194"/>
                  <dgm:constr type="ctrY" for="ch" forName="dot4" refType="h" fact="0.8615"/>
                  <dgm:constr type="w" for="ch" forName="dot4" refType="userD"/>
                  <dgm:constr type="h" for="ch" forName="dot4" refType="userD"/>
                  <dgm:constr type="ctrX" for="ch" forName="dot5" refType="w" fact="0.6416"/>
                  <dgm:constr type="ctrY" for="ch" forName="dot5" refType="h" fact="0.8676"/>
                  <dgm:constr type="w" for="ch" forName="dot5" refType="userD"/>
                  <dgm:constr type="h" for="ch" forName="dot5" refType="userD"/>
                  <dgm:constr type="ctrX" for="ch" forName="dot6" refType="w" fact="0.4197"/>
                  <dgm:constr type="ctrY" for="ch" forName="dot6" refType="h" fact="0.7255"/>
                  <dgm:constr type="w" for="ch" forName="dot6" refType="userD"/>
                  <dgm:constr type="h" for="ch" forName="dot6" refType="userD"/>
                  <dgm:constr type="ctrX" for="ch" forName="dot7" refType="w" fact="0.4382"/>
                  <dgm:constr type="ctrY" for="ch" forName="dot7" refType="h" fact="0.7454"/>
                  <dgm:constr type="w" for="ch" forName="dot7" refType="userD"/>
                  <dgm:constr type="h" for="ch" forName="dot7" refType="userD"/>
                  <dgm:constr type="ctrX" for="ch" forName="dot8" refType="w" fact="0.3344"/>
                  <dgm:constr type="ctrY" for="ch" forName="dot8" refType="h" fact="0.6026"/>
                  <dgm:constr type="w" for="ch" forName="dot8" refType="userD"/>
                  <dgm:constr type="h" for="ch" forName="dot8" refType="userD"/>
                  <dgm:constr type="ctrX" for="ch" forName="dot9" refType="w" fact="0.2734"/>
                  <dgm:constr type="ctrY" for="ch" forName="dot9" refType="h" fact="0.4632"/>
                  <dgm:constr type="w" for="ch" forName="dot9" refType="userD"/>
                  <dgm:constr type="h" for="ch" forName="dot9" refType="userD"/>
                  <dgm:constr type="ctrX" for="ch" forName="dot10" refType="w" fact="0.2357"/>
                  <dgm:constr type="ctrY" for="ch" forName="dot10" refType="h" fact="0.3187"/>
                  <dgm:constr type="w" for="ch" forName="dot10" refType="userD"/>
                  <dgm:constr type="h" for="ch" forName="dot10" refType="userD"/>
                  <dgm:constr type="ctrX" for="ch" forName="dot11" refType="w" fact="0.2184"/>
                  <dgm:constr type="ctrY" for="ch" forName="dot11" refType="h" fact="0.1763"/>
                  <dgm:constr type="w" for="ch" forName="dot11" refType="userD"/>
                  <dgm:constr type="h" for="ch" forName="dot11" refType="userD"/>
                  <dgm:constr type="ctrX" for="ch" forName="dotArrow1" refType="w" fact="0.2442"/>
                  <dgm:constr type="ctrY" for="ch" forName="dotArrow1" refType="h" fact="-0.0099"/>
                  <dgm:constr type="w" for="ch" forName="dotArrow1" refType="userD"/>
                  <dgm:constr type="h" for="ch" forName="dotArrow1" refType="userD"/>
                  <dgm:constr type="ctrX" for="ch" forName="dotArrow2" refType="w" fact="0.2275"/>
                  <dgm:constr type="ctrY" for="ch" forName="dotArrow2" refType="h" fact="-0.0239"/>
                  <dgm:constr type="w" for="ch" forName="dotArrow2" refType="userD"/>
                  <dgm:constr type="h" for="ch" forName="dotArrow2" refType="userD"/>
                  <dgm:constr type="ctrX" for="ch" forName="dotArrow3" refType="w" fact="0.2108"/>
                  <dgm:constr type="ctrY" for="ch" forName="dotArrow3" refType="h" fact="-0.0378"/>
                  <dgm:constr type="w" for="ch" forName="dotArrow3" refType="userD"/>
                  <dgm:constr type="h" for="ch" forName="dotArrow3" refType="userD"/>
                  <dgm:constr type="ctrX" for="ch" forName="dotArrow4" refType="w" fact="0.1942"/>
                  <dgm:constr type="ctrY" for="ch" forName="dotArrow4" refType="h" fact="-0.0239"/>
                  <dgm:constr type="w" for="ch" forName="dotArrow4" refType="userD"/>
                  <dgm:constr type="h" for="ch" forName="dotArrow4" refType="userD"/>
                  <dgm:constr type="ctrX" for="ch" forName="dotArrow5" refType="w" fact="0.1775"/>
                  <dgm:constr type="ctrY" for="ch" forName="dotArrow5" refType="h" fact="-0.0099"/>
                  <dgm:constr type="w" for="ch" forName="dotArrow5" refType="userD"/>
                  <dgm:constr type="h" for="ch" forName="dotArrow5" refType="userD"/>
                  <dgm:constr type="ctrX" for="ch" forName="dotArrow6" refType="w" fact="0.2108"/>
                  <dgm:constr type="ctrY" for="ch" forName="dotArrow6" refType="h" fact="-0.0084"/>
                  <dgm:constr type="w" for="ch" forName="dotArrow6" refType="userD"/>
                  <dgm:constr type="h" for="ch" forName="dotArrow6" refType="userD"/>
                  <dgm:constr type="ctrX" for="ch" forName="dotArrow7" refType="w" fact="0.2108"/>
                  <dgm:constr type="ctrY" for="ch" forName="dotArrow7" refType="h" fact="0.0211"/>
                  <dgm:constr type="w" for="ch" forName="dotArrow7" refType="userD"/>
                  <dgm:constr type="h" for="ch" forName="dotArrow7" refType="userD"/>
                  <dgm:constr type="r" for="ch" forName="parTx1" refType="w" fact="0.7085"/>
                  <dgm:constr type="t" for="ch" forName="parTx1" refType="h" fact="0.8845"/>
                  <dgm:constr type="w" for="ch" forName="parTx1" refType="w" fact="0.2396"/>
                  <dgm:constr type="h" for="ch" forName="parTx1" refType="h" fact="0.0704"/>
                  <dgm:constr type="ctrX" for="ch" forName="picture1" refType="w" fact="0.7194"/>
                  <dgm:constr type="ctrY" for="ch" forName="picture1" refType="h" fact="0.8769"/>
                  <dgm:constr type="w" for="ch" forName="picture1" refType="w" fact="0.1111"/>
                  <dgm:constr type="h" for="ch" forName="picture1" refType="h" fact="0.1218"/>
                  <dgm:constr type="r" for="ch" forName="parTx2" refType="w" fact="0.4828"/>
                  <dgm:constr type="t" for="ch" forName="parTx2" refType="h" fact="0.7946"/>
                  <dgm:constr type="w" for="ch" forName="parTx2" refType="w" fact="0.2396"/>
                  <dgm:constr type="h" for="ch" forName="parTx2" refType="h" fact="0.0704"/>
                  <dgm:constr type="ctrX" for="ch" forName="picture2" refType="w" fact="0.4937"/>
                  <dgm:constr type="ctrY" for="ch" forName="picture2" refType="h" fact="0.787"/>
                  <dgm:constr type="w" for="ch" forName="picture2" refType="w" fact="0.1111"/>
                  <dgm:constr type="h" for="ch" forName="picture2" refType="h" fact="0.1218"/>
                  <dgm:constr type="r" for="ch" forName="parTx3" refType="w" fact="0.3715"/>
                  <dgm:constr type="t" for="ch" forName="parTx3" refType="h" fact="0.672"/>
                  <dgm:constr type="w" for="ch" forName="parTx3" refType="w" fact="0.2396"/>
                  <dgm:constr type="h" for="ch" forName="parTx3" refType="h" fact="0.0704"/>
                  <dgm:constr type="ctrX" for="ch" forName="picture3" refType="w" fact="0.3824"/>
                  <dgm:constr type="ctrY" for="ch" forName="picture3" refType="h" fact="0.6644"/>
                  <dgm:constr type="w" for="ch" forName="picture3" refType="w" fact="0.1111"/>
                  <dgm:constr type="h" for="ch" forName="picture3" refType="h" fact="0.1218"/>
                  <dgm:constr type="r" for="ch" forName="parTx4" refType="w" fact="0.3006"/>
                  <dgm:constr type="t" for="ch" forName="parTx4" refType="h" fact="0.5369"/>
                  <dgm:constr type="w" for="ch" forName="parTx4" refType="w" fact="0.2396"/>
                  <dgm:constr type="h" for="ch" forName="parTx4" refType="h" fact="0.0704"/>
                  <dgm:constr type="ctrX" for="ch" forName="picture4" refType="w" fact="0.3115"/>
                  <dgm:constr type="ctrY" for="ch" forName="picture4" refType="h" fact="0.5294"/>
                  <dgm:constr type="w" for="ch" forName="picture4" refType="w" fact="0.1111"/>
                  <dgm:constr type="h" for="ch" forName="picture4" refType="h" fact="0.1218"/>
                  <dgm:constr type="r" for="ch" forName="parTx5" refType="w" fact="0.25"/>
                  <dgm:constr type="t" for="ch" forName="parTx5" refType="h" fact="0.394"/>
                  <dgm:constr type="w" for="ch" forName="parTx5" refType="w" fact="0.2396"/>
                  <dgm:constr type="h" for="ch" forName="parTx5" refType="h" fact="0.0704"/>
                  <dgm:constr type="ctrX" for="ch" forName="picture5" refType="w" fact="0.2609"/>
                  <dgm:constr type="ctrY" for="ch" forName="picture5" refType="h" fact="0.3864"/>
                  <dgm:constr type="w" for="ch" forName="picture5" refType="w" fact="0.1111"/>
                  <dgm:constr type="h" for="ch" forName="picture5" refType="h" fact="0.1218"/>
                  <dgm:constr type="r" for="ch" forName="parTx6" refType="w" fact="0.2212"/>
                  <dgm:constr type="t" for="ch" forName="parTx6" refType="h" fact="0.252"/>
                  <dgm:constr type="w" for="ch" forName="parTx6" refType="w" fact="0.2396"/>
                  <dgm:constr type="h" for="ch" forName="parTx6" refType="h" fact="0.0704"/>
                  <dgm:constr type="ctrX" for="ch" forName="picture6" refType="w" fact="0.2321"/>
                  <dgm:constr type="ctrY" for="ch" forName="picture6" refType="h" fact="0.2444"/>
                  <dgm:constr type="w" for="ch" forName="picture6" refType="w" fact="0.1111"/>
                  <dgm:constr type="h" for="ch" forName="picture6" refType="h" fact="0.1218"/>
                  <dgm:constr type="r" for="ch" forName="parTx7" refType="w" fact="0.2055"/>
                  <dgm:constr type="t" for="ch" forName="parTx7" refType="h" fact="0.1151"/>
                  <dgm:constr type="w" for="ch" forName="parTx7" refType="w" fact="0.2396"/>
                  <dgm:constr type="h" for="ch" forName="parTx7" refType="h" fact="0.0704"/>
                  <dgm:constr type="ctrX" for="ch" forName="picture7" refType="w" fact="0.2164"/>
                  <dgm:constr type="ctrY" for="ch" forName="picture7" refType="h" fact="0.1075"/>
                  <dgm:constr type="w" for="ch" forName="picture7" refType="w" fact="0.1111"/>
                  <dgm:constr type="h" for="ch" forName="picture7" refType="h" fact="0.1218"/>
                </dgm:constrLst>
              </dgm:else>
            </dgm:choose>
          </dgm:else>
        </dgm:choose>
      </dgm:else>
    </dgm:choose>
    <dgm:forEach name="wrapper" axis="self" ptType="parTrans">
      <dgm:forEach name="wrapper2" axis="self" ptType="sibTrans" st="2">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choose name="Name72">
      <dgm:if name="Name73" axis="ch" ptType="node" func="cnt" op="gte" val="2">
        <dgm:layoutNode name="dot1" styleLbl="alignNode1">
          <dgm:alg type="sp"/>
          <dgm:shape xmlns:r="http://schemas.openxmlformats.org/officeDocument/2006/relationships" type="ellipse" r:blip="">
            <dgm:adjLst/>
          </dgm:shape>
          <dgm:presOf/>
        </dgm:layoutNode>
        <dgm:layoutNode name="dot2" styleLbl="alignNode1">
          <dgm:alg type="sp"/>
          <dgm:shape xmlns:r="http://schemas.openxmlformats.org/officeDocument/2006/relationships" type="ellipse" r:blip="">
            <dgm:adjLst/>
          </dgm:shape>
          <dgm:presOf/>
        </dgm:layoutNode>
        <dgm:layoutNode name="dot3" styleLbl="alignNode1">
          <dgm:alg type="sp"/>
          <dgm:shape xmlns:r="http://schemas.openxmlformats.org/officeDocument/2006/relationships" type="ellipse" r:blip="">
            <dgm:adjLst/>
          </dgm:shape>
          <dgm:presOf/>
        </dgm:layoutNode>
      </dgm:if>
      <dgm:else name="Name74"/>
    </dgm:choose>
    <dgm:choose name="Name75">
      <dgm:if name="Name76" axis="ch" ptType="node" func="cnt" op="gte" val="3">
        <dgm:layoutNode name="dot4" styleLbl="alignNode1">
          <dgm:alg type="sp"/>
          <dgm:shape xmlns:r="http://schemas.openxmlformats.org/officeDocument/2006/relationships" type="ellipse" r:blip="">
            <dgm:adjLst/>
          </dgm:shape>
          <dgm:presOf/>
        </dgm:layoutNode>
        <dgm:layoutNode name="dot5" styleLbl="alignNode1">
          <dgm:alg type="sp"/>
          <dgm:shape xmlns:r="http://schemas.openxmlformats.org/officeDocument/2006/relationships" type="ellipse" r:blip="">
            <dgm:adjLst/>
          </dgm:shape>
          <dgm:presOf/>
        </dgm:layoutNode>
      </dgm:if>
      <dgm:else name="Name77"/>
    </dgm:choose>
    <dgm:choose name="Name78">
      <dgm:if name="Name79" axis="ch" ptType="node" func="cnt" op="gte" val="4">
        <dgm:layoutNode name="dot6" styleLbl="alignNode1">
          <dgm:alg type="sp"/>
          <dgm:shape xmlns:r="http://schemas.openxmlformats.org/officeDocument/2006/relationships" type="ellipse" r:blip="">
            <dgm:adjLst/>
          </dgm:shape>
          <dgm:presOf/>
        </dgm:layoutNode>
      </dgm:if>
      <dgm:else name="Name80"/>
    </dgm:choose>
    <dgm:choose name="Name81">
      <dgm:if name="Name82" axis="ch" ptType="node" func="cnt" op="gte" val="5">
        <dgm:layoutNode name="dot7" styleLbl="alignNode1">
          <dgm:alg type="sp"/>
          <dgm:shape xmlns:r="http://schemas.openxmlformats.org/officeDocument/2006/relationships" type="ellipse" r:blip="">
            <dgm:adjLst/>
          </dgm:shape>
          <dgm:presOf/>
        </dgm:layoutNode>
        <dgm:layoutNode name="dot8" styleLbl="alignNode1">
          <dgm:alg type="sp"/>
          <dgm:shape xmlns:r="http://schemas.openxmlformats.org/officeDocument/2006/relationships" type="ellipse" r:blip="">
            <dgm:adjLst/>
          </dgm:shape>
          <dgm:presOf/>
        </dgm:layoutNode>
      </dgm:if>
      <dgm:else name="Name83"/>
    </dgm:choose>
    <dgm:choose name="Name84">
      <dgm:if name="Name85" axis="ch" ptType="node" func="cnt" op="gte" val="6">
        <dgm:layoutNode name="dot9" styleLbl="alignNode1">
          <dgm:alg type="sp"/>
          <dgm:shape xmlns:r="http://schemas.openxmlformats.org/officeDocument/2006/relationships" type="ellipse" r:blip="">
            <dgm:adjLst/>
          </dgm:shape>
          <dgm:presOf/>
        </dgm:layoutNode>
        <dgm:layoutNode name="dot10" styleLbl="alignNode1">
          <dgm:alg type="sp"/>
          <dgm:shape xmlns:r="http://schemas.openxmlformats.org/officeDocument/2006/relationships" type="ellipse" r:blip="">
            <dgm:adjLst/>
          </dgm:shape>
          <dgm:presOf/>
        </dgm:layoutNode>
      </dgm:if>
      <dgm:else name="Name86"/>
    </dgm:choose>
    <dgm:choose name="Name87">
      <dgm:if name="Name88" axis="ch" ptType="node" func="cnt" op="gte" val="7">
        <dgm:layoutNode name="dot11" styleLbl="alignNode1">
          <dgm:alg type="sp"/>
          <dgm:shape xmlns:r="http://schemas.openxmlformats.org/officeDocument/2006/relationships" type="ellipse" r:blip="">
            <dgm:adjLst/>
          </dgm:shape>
          <dgm:presOf/>
        </dgm:layoutNode>
      </dgm:if>
      <dgm:else name="Name89"/>
    </dgm:choose>
    <dgm:choose name="Name90">
      <dgm:if name="Name91" axis="ch" ptType="node" func="cnt" op="gte" val="2">
        <dgm:layoutNode name="dotArrow1" styleLbl="alignNode1">
          <dgm:alg type="sp"/>
          <dgm:shape xmlns:r="http://schemas.openxmlformats.org/officeDocument/2006/relationships" type="ellipse" r:blip="">
            <dgm:adjLst/>
          </dgm:shape>
          <dgm:presOf/>
        </dgm:layoutNode>
        <dgm:layoutNode name="dotArrow2" styleLbl="alignNode1">
          <dgm:alg type="sp"/>
          <dgm:shape xmlns:r="http://schemas.openxmlformats.org/officeDocument/2006/relationships" type="ellipse" r:blip="">
            <dgm:adjLst/>
          </dgm:shape>
          <dgm:presOf/>
        </dgm:layoutNode>
        <dgm:layoutNode name="dotArrow3" styleLbl="alignNode1">
          <dgm:alg type="sp"/>
          <dgm:shape xmlns:r="http://schemas.openxmlformats.org/officeDocument/2006/relationships" type="ellipse" r:blip="">
            <dgm:adjLst/>
          </dgm:shape>
          <dgm:presOf/>
        </dgm:layoutNode>
        <dgm:layoutNode name="dotArrow4" styleLbl="alignNode1">
          <dgm:alg type="sp"/>
          <dgm:shape xmlns:r="http://schemas.openxmlformats.org/officeDocument/2006/relationships" type="ellipse" r:blip="">
            <dgm:adjLst/>
          </dgm:shape>
          <dgm:presOf/>
        </dgm:layoutNode>
        <dgm:layoutNode name="dotArrow5" styleLbl="alignNode1">
          <dgm:alg type="sp"/>
          <dgm:shape xmlns:r="http://schemas.openxmlformats.org/officeDocument/2006/relationships" type="ellipse" r:blip="">
            <dgm:adjLst/>
          </dgm:shape>
          <dgm:presOf/>
        </dgm:layoutNode>
        <dgm:layoutNode name="dotArrow6" styleLbl="alignNode1">
          <dgm:alg type="sp"/>
          <dgm:shape xmlns:r="http://schemas.openxmlformats.org/officeDocument/2006/relationships" type="ellipse" r:blip="">
            <dgm:adjLst/>
          </dgm:shape>
          <dgm:presOf/>
        </dgm:layoutNode>
        <dgm:layoutNode name="dotArrow7" styleLbl="alignNode1">
          <dgm:alg type="sp"/>
          <dgm:shape xmlns:r="http://schemas.openxmlformats.org/officeDocument/2006/relationships" type="ellipse" r:blip="">
            <dgm:adjLst/>
          </dgm:shape>
          <dgm:presOf/>
        </dgm:layoutNode>
      </dgm:if>
      <dgm:else name="Name92"/>
    </dgm:choose>
    <dgm:forEach name="Name93" axis="ch" ptType="node" cnt="1">
      <dgm:layoutNode name="parTx1">
        <dgm:choose name="Name94">
          <dgm:if name="Name95" func="var" arg="dir" op="equ" val="norm">
            <dgm:alg type="tx">
              <dgm:param type="parTxLTRAlign" val="l"/>
              <dgm:param type="parTxRTLAlign" val="r"/>
            </dgm:alg>
          </dgm:if>
          <dgm:else name="Name96">
            <dgm:alg type="tx">
              <dgm:param type="parTxLTRAlign" val="r"/>
              <dgm:param type="parTxRTLAlign" val="l"/>
            </dgm:alg>
          </dgm:else>
        </dgm:choose>
        <dgm:shape xmlns:r="http://schemas.openxmlformats.org/officeDocument/2006/relationships" type="roundRect" r:blip="">
          <dgm:adjLst/>
        </dgm:shape>
        <dgm:presOf axis="self" ptType="node"/>
        <dgm:choose name="Name97">
          <dgm:if name="Name98" func="var" arg="dir" op="equ" val="norm">
            <dgm:constrLst>
              <dgm:constr type="lMarg" refType="w" fact="0.6"/>
              <dgm:constr type="rMarg" refType="primFontSz" fact="0.3"/>
              <dgm:constr type="tMarg" refType="primFontSz" fact="0.3"/>
              <dgm:constr type="bMarg" refType="primFontSz" fact="0.3"/>
            </dgm:constrLst>
          </dgm:if>
          <dgm:else name="Name99">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00">
        <dgm:if name="Name101" axis="ch" ptType="node" func="cnt" op="gte" val="1">
          <dgm:layoutNode name="desTx1" styleLbl="revTx">
            <dgm:varLst>
              <dgm:bulletEnabled val="1"/>
            </dgm:varLst>
            <dgm:choose name="Name102">
              <dgm:if name="Name103" func="var" arg="dir" op="equ" val="norm">
                <dgm:choose name="Name104">
                  <dgm:if name="Name105" axis="ch" ptType="node" func="cnt" op="gte" val="2">
                    <dgm:alg type="tx">
                      <dgm:param type="parTxLTRAlign" val="l"/>
                      <dgm:param type="parTxRTLAlign" val="l"/>
                      <dgm:param type="stBulletLvl" val="1"/>
                    </dgm:alg>
                  </dgm:if>
                  <dgm:else name="Name106">
                    <dgm:alg type="tx">
                      <dgm:param type="parTxLTRAlign" val="l"/>
                      <dgm:param type="parTxRTLAlign" val="l"/>
                    </dgm:alg>
                  </dgm:else>
                </dgm:choose>
              </dgm:if>
              <dgm:else name="Name107">
                <dgm:choose name="Name108">
                  <dgm:if name="Name109" axis="ch" ptType="node" func="cnt" op="gte" val="2">
                    <dgm:alg type="tx">
                      <dgm:param type="parTxLTRAlign" val="r"/>
                      <dgm:param type="parTxRTLAlign" val="r"/>
                      <dgm:param type="shpTxLTRAlignCh" val="r"/>
                      <dgm:param type="shpTxRTLAlignCh" val="r"/>
                      <dgm:param type="stBulletLvl" val="1"/>
                    </dgm:alg>
                  </dgm:if>
                  <dgm:else name="Name110">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11"/>
      </dgm:choose>
    </dgm:forEach>
    <dgm:forEach name="Name112" axis="ch" ptType="sibTrans" hideLastTrans="0" cnt="1">
      <dgm:layoutNode name="picture1">
        <dgm:alg type="sp"/>
        <dgm:shape xmlns:r="http://schemas.openxmlformats.org/officeDocument/2006/relationships" r:blip="">
          <dgm:adjLst/>
        </dgm:shape>
        <dgm:presOf/>
        <dgm:constrLst/>
        <dgm:forEach name="Name113" ref="imageRepeat"/>
      </dgm:layoutNode>
    </dgm:forEach>
    <dgm:forEach name="Name114" axis="ch" ptType="node" st="2" cnt="1">
      <dgm:layoutNode name="parTx2">
        <dgm:choose name="Name115">
          <dgm:if name="Name116" func="var" arg="dir" op="equ" val="norm">
            <dgm:alg type="tx">
              <dgm:param type="parTxLTRAlign" val="l"/>
              <dgm:param type="parTxRTLAlign" val="r"/>
            </dgm:alg>
          </dgm:if>
          <dgm:else name="Name117">
            <dgm:alg type="tx">
              <dgm:param type="parTxLTRAlign" val="r"/>
              <dgm:param type="parTxRTLAlign" val="l"/>
            </dgm:alg>
          </dgm:else>
        </dgm:choose>
        <dgm:shape xmlns:r="http://schemas.openxmlformats.org/officeDocument/2006/relationships" type="roundRect" r:blip="">
          <dgm:adjLst/>
        </dgm:shape>
        <dgm:presOf axis="self" ptType="node"/>
        <dgm:choose name="Name118">
          <dgm:if name="Name119" func="var" arg="dir" op="equ" val="norm">
            <dgm:constrLst>
              <dgm:constr type="lMarg" refType="w" fact="0.6"/>
              <dgm:constr type="rMarg" refType="primFontSz" fact="0.3"/>
              <dgm:constr type="tMarg" refType="primFontSz" fact="0.3"/>
              <dgm:constr type="bMarg" refType="primFontSz" fact="0.3"/>
            </dgm:constrLst>
          </dgm:if>
          <dgm:else name="Name120">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21">
        <dgm:if name="Name122" axis="ch" ptType="node" func="cnt" op="gte" val="1">
          <dgm:layoutNode name="desTx2" styleLbl="revTx">
            <dgm:varLst>
              <dgm:bulletEnabled val="1"/>
            </dgm:varLst>
            <dgm:choose name="Name123">
              <dgm:if name="Name124" func="var" arg="dir" op="equ" val="norm">
                <dgm:choose name="Name125">
                  <dgm:if name="Name126" axis="ch" ptType="node" func="cnt" op="gte" val="2">
                    <dgm:alg type="tx">
                      <dgm:param type="parTxLTRAlign" val="l"/>
                      <dgm:param type="parTxRTLAlign" val="l"/>
                      <dgm:param type="stBulletLvl" val="1"/>
                    </dgm:alg>
                  </dgm:if>
                  <dgm:else name="Name127">
                    <dgm:alg type="tx">
                      <dgm:param type="parTxLTRAlign" val="l"/>
                      <dgm:param type="parTxRTLAlign" val="l"/>
                    </dgm:alg>
                  </dgm:else>
                </dgm:choose>
              </dgm:if>
              <dgm:else name="Name128">
                <dgm:choose name="Name129">
                  <dgm:if name="Name130" axis="ch" ptType="node" func="cnt" op="gte" val="2">
                    <dgm:alg type="tx">
                      <dgm:param type="parTxLTRAlign" val="r"/>
                      <dgm:param type="parTxRTLAlign" val="r"/>
                      <dgm:param type="shpTxLTRAlignCh" val="r"/>
                      <dgm:param type="shpTxRTLAlignCh" val="r"/>
                      <dgm:param type="stBulletLvl" val="1"/>
                    </dgm:alg>
                  </dgm:if>
                  <dgm:else name="Name131">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32"/>
      </dgm:choose>
    </dgm:forEach>
    <dgm:forEach name="Name133" axis="ch" ptType="sibTrans" hideLastTrans="0" st="2" cnt="1">
      <dgm:layoutNode name="picture2">
        <dgm:alg type="sp"/>
        <dgm:shape xmlns:r="http://schemas.openxmlformats.org/officeDocument/2006/relationships" r:blip="">
          <dgm:adjLst/>
        </dgm:shape>
        <dgm:presOf/>
        <dgm:constrLst/>
        <dgm:forEach name="Name134" ref="imageRepeat"/>
      </dgm:layoutNode>
    </dgm:forEach>
    <dgm:forEach name="Name135" axis="ch" ptType="node" st="3" cnt="1">
      <dgm:layoutNode name="parTx3">
        <dgm:choose name="Name136">
          <dgm:if name="Name137" func="var" arg="dir" op="equ" val="norm">
            <dgm:alg type="tx">
              <dgm:param type="parTxLTRAlign" val="l"/>
              <dgm:param type="parTxRTLAlign" val="r"/>
            </dgm:alg>
          </dgm:if>
          <dgm:else name="Name138">
            <dgm:alg type="tx">
              <dgm:param type="parTxLTRAlign" val="r"/>
              <dgm:param type="parTxRTLAlign" val="l"/>
            </dgm:alg>
          </dgm:else>
        </dgm:choose>
        <dgm:shape xmlns:r="http://schemas.openxmlformats.org/officeDocument/2006/relationships" type="roundRect" r:blip="">
          <dgm:adjLst/>
        </dgm:shape>
        <dgm:presOf axis="self" ptType="node"/>
        <dgm:choose name="Name139">
          <dgm:if name="Name140" func="var" arg="dir" op="equ" val="norm">
            <dgm:constrLst>
              <dgm:constr type="lMarg" refType="w" fact="0.6"/>
              <dgm:constr type="rMarg" refType="primFontSz" fact="0.3"/>
              <dgm:constr type="tMarg" refType="primFontSz" fact="0.3"/>
              <dgm:constr type="bMarg" refType="primFontSz" fact="0.3"/>
            </dgm:constrLst>
          </dgm:if>
          <dgm:else name="Name141">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42">
        <dgm:if name="Name143" axis="ch" ptType="node" func="cnt" op="gte" val="1">
          <dgm:layoutNode name="desTx3" styleLbl="revTx">
            <dgm:varLst>
              <dgm:bulletEnabled val="1"/>
            </dgm:varLst>
            <dgm:choose name="Name144">
              <dgm:if name="Name145" func="var" arg="dir" op="equ" val="norm">
                <dgm:choose name="Name146">
                  <dgm:if name="Name147" axis="ch" ptType="node" func="cnt" op="gte" val="2">
                    <dgm:alg type="tx">
                      <dgm:param type="parTxLTRAlign" val="l"/>
                      <dgm:param type="parTxRTLAlign" val="l"/>
                      <dgm:param type="stBulletLvl" val="1"/>
                    </dgm:alg>
                  </dgm:if>
                  <dgm:else name="Name148">
                    <dgm:alg type="tx">
                      <dgm:param type="parTxLTRAlign" val="l"/>
                      <dgm:param type="parTxRTLAlign" val="l"/>
                    </dgm:alg>
                  </dgm:else>
                </dgm:choose>
              </dgm:if>
              <dgm:else name="Name149">
                <dgm:choose name="Name150">
                  <dgm:if name="Name151" axis="ch" ptType="node" func="cnt" op="gte" val="2">
                    <dgm:alg type="tx">
                      <dgm:param type="parTxLTRAlign" val="r"/>
                      <dgm:param type="parTxRTLAlign" val="r"/>
                      <dgm:param type="shpTxLTRAlignCh" val="r"/>
                      <dgm:param type="shpTxRTLAlignCh" val="r"/>
                      <dgm:param type="stBulletLvl" val="1"/>
                    </dgm:alg>
                  </dgm:if>
                  <dgm:else name="Name152">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53"/>
      </dgm:choose>
    </dgm:forEach>
    <dgm:forEach name="Name154" axis="ch" ptType="sibTrans" hideLastTrans="0" st="3" cnt="1">
      <dgm:layoutNode name="picture3">
        <dgm:alg type="sp"/>
        <dgm:shape xmlns:r="http://schemas.openxmlformats.org/officeDocument/2006/relationships" r:blip="">
          <dgm:adjLst/>
        </dgm:shape>
        <dgm:presOf/>
        <dgm:constrLst/>
        <dgm:forEach name="Name155" ref="imageRepeat"/>
      </dgm:layoutNode>
    </dgm:forEach>
    <dgm:forEach name="Name156" axis="ch" ptType="node" st="4" cnt="1">
      <dgm:layoutNode name="parTx4">
        <dgm:choose name="Name157">
          <dgm:if name="Name158" func="var" arg="dir" op="equ" val="norm">
            <dgm:alg type="tx">
              <dgm:param type="parTxLTRAlign" val="l"/>
              <dgm:param type="parTxRTLAlign" val="r"/>
            </dgm:alg>
          </dgm:if>
          <dgm:else name="Name159">
            <dgm:alg type="tx">
              <dgm:param type="parTxLTRAlign" val="r"/>
              <dgm:param type="parTxRTLAlign" val="l"/>
            </dgm:alg>
          </dgm:else>
        </dgm:choose>
        <dgm:shape xmlns:r="http://schemas.openxmlformats.org/officeDocument/2006/relationships" type="roundRect" r:blip="">
          <dgm:adjLst/>
        </dgm:shape>
        <dgm:presOf axis="self" ptType="node"/>
        <dgm:choose name="Name160">
          <dgm:if name="Name161" func="var" arg="dir" op="equ" val="norm">
            <dgm:constrLst>
              <dgm:constr type="lMarg" refType="w" fact="0.6"/>
              <dgm:constr type="rMarg" refType="primFontSz" fact="0.3"/>
              <dgm:constr type="tMarg" refType="primFontSz" fact="0.3"/>
              <dgm:constr type="bMarg" refType="primFontSz" fact="0.3"/>
            </dgm:constrLst>
          </dgm:if>
          <dgm:else name="Name162">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63">
        <dgm:if name="Name164" axis="ch" ptType="node" func="cnt" op="gte" val="1">
          <dgm:layoutNode name="desTx4" styleLbl="revTx">
            <dgm:varLst>
              <dgm:bulletEnabled val="1"/>
            </dgm:varLst>
            <dgm:choose name="Name165">
              <dgm:if name="Name166" func="var" arg="dir" op="equ" val="norm">
                <dgm:choose name="Name167">
                  <dgm:if name="Name168" axis="ch" ptType="node" func="cnt" op="gte" val="2">
                    <dgm:alg type="tx">
                      <dgm:param type="parTxLTRAlign" val="l"/>
                      <dgm:param type="parTxRTLAlign" val="l"/>
                      <dgm:param type="stBulletLvl" val="1"/>
                    </dgm:alg>
                  </dgm:if>
                  <dgm:else name="Name169">
                    <dgm:alg type="tx">
                      <dgm:param type="parTxLTRAlign" val="l"/>
                      <dgm:param type="parTxRTLAlign" val="l"/>
                    </dgm:alg>
                  </dgm:else>
                </dgm:choose>
              </dgm:if>
              <dgm:else name="Name170">
                <dgm:choose name="Name171">
                  <dgm:if name="Name172" axis="ch" ptType="node" func="cnt" op="gte" val="2">
                    <dgm:alg type="tx">
                      <dgm:param type="parTxLTRAlign" val="r"/>
                      <dgm:param type="parTxRTLAlign" val="r"/>
                      <dgm:param type="shpTxLTRAlignCh" val="r"/>
                      <dgm:param type="shpTxRTLAlignCh" val="r"/>
                      <dgm:param type="stBulletLvl" val="1"/>
                    </dgm:alg>
                  </dgm:if>
                  <dgm:else name="Name173">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74"/>
      </dgm:choose>
    </dgm:forEach>
    <dgm:forEach name="Name175" axis="ch" ptType="sibTrans" hideLastTrans="0" st="4" cnt="1">
      <dgm:layoutNode name="picture4">
        <dgm:alg type="sp"/>
        <dgm:shape xmlns:r="http://schemas.openxmlformats.org/officeDocument/2006/relationships" r:blip="">
          <dgm:adjLst/>
        </dgm:shape>
        <dgm:presOf/>
        <dgm:constrLst/>
        <dgm:forEach name="Name176" ref="imageRepeat"/>
      </dgm:layoutNode>
    </dgm:forEach>
    <dgm:forEach name="Name177" axis="ch" ptType="node" st="5" cnt="1">
      <dgm:layoutNode name="parTx5">
        <dgm:choose name="Name178">
          <dgm:if name="Name179" func="var" arg="dir" op="equ" val="norm">
            <dgm:alg type="tx">
              <dgm:param type="parTxLTRAlign" val="l"/>
              <dgm:param type="parTxRTLAlign" val="r"/>
            </dgm:alg>
          </dgm:if>
          <dgm:else name="Name180">
            <dgm:alg type="tx">
              <dgm:param type="parTxLTRAlign" val="r"/>
              <dgm:param type="parTxRTLAlign" val="l"/>
            </dgm:alg>
          </dgm:else>
        </dgm:choose>
        <dgm:shape xmlns:r="http://schemas.openxmlformats.org/officeDocument/2006/relationships" type="roundRect" r:blip="">
          <dgm:adjLst/>
        </dgm:shape>
        <dgm:presOf axis="self" ptType="node"/>
        <dgm:choose name="Name181">
          <dgm:if name="Name182" func="var" arg="dir" op="equ" val="norm">
            <dgm:constrLst>
              <dgm:constr type="lMarg" refType="w" fact="0.6"/>
              <dgm:constr type="rMarg" refType="primFontSz" fact="0.3"/>
              <dgm:constr type="tMarg" refType="primFontSz" fact="0.3"/>
              <dgm:constr type="bMarg" refType="primFontSz" fact="0.3"/>
            </dgm:constrLst>
          </dgm:if>
          <dgm:else name="Name183">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84">
        <dgm:if name="Name185" axis="ch" ptType="node" func="cnt" op="gte" val="1">
          <dgm:layoutNode name="desTx5" styleLbl="revTx">
            <dgm:varLst>
              <dgm:bulletEnabled val="1"/>
            </dgm:varLst>
            <dgm:choose name="Name186">
              <dgm:if name="Name187" func="var" arg="dir" op="equ" val="norm">
                <dgm:choose name="Name188">
                  <dgm:if name="Name189" axis="ch" ptType="node" func="cnt" op="gte" val="2">
                    <dgm:alg type="tx">
                      <dgm:param type="parTxLTRAlign" val="l"/>
                      <dgm:param type="parTxRTLAlign" val="l"/>
                      <dgm:param type="stBulletLvl" val="1"/>
                    </dgm:alg>
                  </dgm:if>
                  <dgm:else name="Name190">
                    <dgm:alg type="tx">
                      <dgm:param type="parTxLTRAlign" val="l"/>
                      <dgm:param type="parTxRTLAlign" val="l"/>
                    </dgm:alg>
                  </dgm:else>
                </dgm:choose>
              </dgm:if>
              <dgm:else name="Name191">
                <dgm:choose name="Name192">
                  <dgm:if name="Name193" axis="ch" ptType="node" func="cnt" op="gte" val="2">
                    <dgm:alg type="tx">
                      <dgm:param type="parTxLTRAlign" val="r"/>
                      <dgm:param type="parTxRTLAlign" val="r"/>
                      <dgm:param type="shpTxLTRAlignCh" val="r"/>
                      <dgm:param type="shpTxRTLAlignCh" val="r"/>
                      <dgm:param type="stBulletLvl" val="1"/>
                    </dgm:alg>
                  </dgm:if>
                  <dgm:else name="Name194">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95"/>
      </dgm:choose>
    </dgm:forEach>
    <dgm:forEach name="Name196" axis="ch" ptType="sibTrans" hideLastTrans="0" st="5" cnt="1">
      <dgm:layoutNode name="picture5">
        <dgm:alg type="sp"/>
        <dgm:shape xmlns:r="http://schemas.openxmlformats.org/officeDocument/2006/relationships" r:blip="">
          <dgm:adjLst/>
        </dgm:shape>
        <dgm:presOf/>
        <dgm:constrLst/>
        <dgm:forEach name="Name197" ref="imageRepeat"/>
      </dgm:layoutNode>
    </dgm:forEach>
    <dgm:forEach name="Name198" axis="ch" ptType="node" st="6" cnt="1">
      <dgm:layoutNode name="parTx6">
        <dgm:choose name="Name199">
          <dgm:if name="Name200" func="var" arg="dir" op="equ" val="norm">
            <dgm:alg type="tx">
              <dgm:param type="parTxLTRAlign" val="l"/>
              <dgm:param type="parTxRTLAlign" val="r"/>
            </dgm:alg>
          </dgm:if>
          <dgm:else name="Name201">
            <dgm:alg type="tx">
              <dgm:param type="parTxLTRAlign" val="r"/>
              <dgm:param type="parTxRTLAlign" val="l"/>
            </dgm:alg>
          </dgm:else>
        </dgm:choose>
        <dgm:shape xmlns:r="http://schemas.openxmlformats.org/officeDocument/2006/relationships" type="roundRect" r:blip="">
          <dgm:adjLst/>
        </dgm:shape>
        <dgm:presOf axis="self" ptType="node"/>
        <dgm:choose name="Name202">
          <dgm:if name="Name203" func="var" arg="dir" op="equ" val="norm">
            <dgm:constrLst>
              <dgm:constr type="lMarg" refType="w" fact="0.6"/>
              <dgm:constr type="rMarg" refType="primFontSz" fact="0.3"/>
              <dgm:constr type="tMarg" refType="primFontSz" fact="0.3"/>
              <dgm:constr type="bMarg" refType="primFontSz" fact="0.3"/>
            </dgm:constrLst>
          </dgm:if>
          <dgm:else name="Name204">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05">
        <dgm:if name="Name206" axis="ch" ptType="node" func="cnt" op="gte" val="1">
          <dgm:layoutNode name="desTx6" styleLbl="revTx">
            <dgm:varLst>
              <dgm:bulletEnabled val="1"/>
            </dgm:varLst>
            <dgm:choose name="Name207">
              <dgm:if name="Name208" func="var" arg="dir" op="equ" val="norm">
                <dgm:choose name="Name209">
                  <dgm:if name="Name210" axis="ch" ptType="node" func="cnt" op="gte" val="2">
                    <dgm:alg type="tx">
                      <dgm:param type="parTxLTRAlign" val="l"/>
                      <dgm:param type="parTxRTLAlign" val="l"/>
                      <dgm:param type="stBulletLvl" val="1"/>
                    </dgm:alg>
                  </dgm:if>
                  <dgm:else name="Name211">
                    <dgm:alg type="tx">
                      <dgm:param type="parTxLTRAlign" val="l"/>
                      <dgm:param type="parTxRTLAlign" val="l"/>
                    </dgm:alg>
                  </dgm:else>
                </dgm:choose>
              </dgm:if>
              <dgm:else name="Name212">
                <dgm:choose name="Name213">
                  <dgm:if name="Name214" axis="ch" ptType="node" func="cnt" op="gte" val="2">
                    <dgm:alg type="tx">
                      <dgm:param type="parTxLTRAlign" val="r"/>
                      <dgm:param type="parTxRTLAlign" val="r"/>
                      <dgm:param type="shpTxLTRAlignCh" val="r"/>
                      <dgm:param type="shpTxRTLAlignCh" val="r"/>
                      <dgm:param type="stBulletLvl" val="1"/>
                    </dgm:alg>
                  </dgm:if>
                  <dgm:else name="Name215">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16"/>
      </dgm:choose>
    </dgm:forEach>
    <dgm:forEach name="Name217" axis="ch" ptType="sibTrans" hideLastTrans="0" st="6" cnt="1">
      <dgm:layoutNode name="picture6">
        <dgm:alg type="sp"/>
        <dgm:shape xmlns:r="http://schemas.openxmlformats.org/officeDocument/2006/relationships" r:blip="">
          <dgm:adjLst/>
        </dgm:shape>
        <dgm:presOf/>
        <dgm:constrLst/>
        <dgm:forEach name="Name218" ref="imageRepeat"/>
      </dgm:layoutNode>
    </dgm:forEach>
    <dgm:forEach name="Name219" axis="ch" ptType="node" st="7" cnt="1">
      <dgm:layoutNode name="parTx7">
        <dgm:choose name="Name220">
          <dgm:if name="Name221" func="var" arg="dir" op="equ" val="norm">
            <dgm:alg type="tx">
              <dgm:param type="parTxLTRAlign" val="l"/>
              <dgm:param type="parTxRTLAlign" val="r"/>
            </dgm:alg>
          </dgm:if>
          <dgm:else name="Name222">
            <dgm:alg type="tx">
              <dgm:param type="parTxLTRAlign" val="r"/>
              <dgm:param type="parTxRTLAlign" val="l"/>
            </dgm:alg>
          </dgm:else>
        </dgm:choose>
        <dgm:shape xmlns:r="http://schemas.openxmlformats.org/officeDocument/2006/relationships" type="roundRect" r:blip="">
          <dgm:adjLst/>
        </dgm:shape>
        <dgm:presOf axis="self" ptType="node"/>
        <dgm:choose name="Name223">
          <dgm:if name="Name224" func="var" arg="dir" op="equ" val="norm">
            <dgm:constrLst>
              <dgm:constr type="lMarg" refType="w" fact="0.6"/>
              <dgm:constr type="rMarg" refType="primFontSz" fact="0.3"/>
              <dgm:constr type="tMarg" refType="primFontSz" fact="0.3"/>
              <dgm:constr type="bMarg" refType="primFontSz" fact="0.3"/>
            </dgm:constrLst>
          </dgm:if>
          <dgm:else name="Name225">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26">
        <dgm:if name="Name227" axis="ch" ptType="node" func="cnt" op="gte" val="1">
          <dgm:layoutNode name="desTx7" styleLbl="revTx">
            <dgm:varLst>
              <dgm:bulletEnabled val="1"/>
            </dgm:varLst>
            <dgm:choose name="Name228">
              <dgm:if name="Name229" func="var" arg="dir" op="equ" val="norm">
                <dgm:choose name="Name230">
                  <dgm:if name="Name231" axis="ch" ptType="node" func="cnt" op="gte" val="2">
                    <dgm:alg type="tx">
                      <dgm:param type="parTxLTRAlign" val="l"/>
                      <dgm:param type="parTxRTLAlign" val="l"/>
                      <dgm:param type="stBulletLvl" val="1"/>
                    </dgm:alg>
                  </dgm:if>
                  <dgm:else name="Name232">
                    <dgm:alg type="tx">
                      <dgm:param type="parTxLTRAlign" val="l"/>
                      <dgm:param type="parTxRTLAlign" val="l"/>
                    </dgm:alg>
                  </dgm:else>
                </dgm:choose>
              </dgm:if>
              <dgm:else name="Name233">
                <dgm:choose name="Name234">
                  <dgm:if name="Name235" axis="ch" ptType="node" func="cnt" op="gte" val="2">
                    <dgm:alg type="tx">
                      <dgm:param type="parTxLTRAlign" val="r"/>
                      <dgm:param type="parTxRTLAlign" val="r"/>
                      <dgm:param type="shpTxLTRAlignCh" val="r"/>
                      <dgm:param type="shpTxRTLAlignCh" val="r"/>
                      <dgm:param type="stBulletLvl" val="1"/>
                    </dgm:alg>
                  </dgm:if>
                  <dgm:else name="Name236">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37"/>
      </dgm:choose>
    </dgm:forEach>
    <dgm:forEach name="Name238" axis="ch" ptType="sibTrans" hideLastTrans="0" st="7" cnt="1">
      <dgm:layoutNode name="picture7">
        <dgm:alg type="sp"/>
        <dgm:shape xmlns:r="http://schemas.openxmlformats.org/officeDocument/2006/relationships" r:blip="">
          <dgm:adjLst/>
        </dgm:shape>
        <dgm:presOf/>
        <dgm:constrLst/>
        <dgm:forEach name="Name239" ref="imageRepea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D977A2-3D87-4CAE-82ED-85374C9C8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735</TotalTime>
  <Pages>41</Pages>
  <Words>24911</Words>
  <Characters>141995</Characters>
  <Application>Microsoft Office Word</Application>
  <DocSecurity>0</DocSecurity>
  <Lines>1183</Lines>
  <Paragraphs>333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Nicos Komninos</dc:creator>
  <cp:keywords/>
  <dc:description/>
  <cp:lastModifiedBy>Nicos Komninos</cp:lastModifiedBy>
  <cp:revision>211</cp:revision>
  <cp:lastPrinted>2018-06-30T08:39:00Z</cp:lastPrinted>
  <dcterms:created xsi:type="dcterms:W3CDTF">2018-06-27T09:38:00Z</dcterms:created>
  <dcterms:modified xsi:type="dcterms:W3CDTF">2018-06-30T08:41:00Z</dcterms:modified>
</cp:coreProperties>
</file>